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方正小标宋_GBK"/>
          <w:color w:val="auto"/>
          <w:szCs w:val="32"/>
        </w:rPr>
      </w:pPr>
      <w:r>
        <w:rPr>
          <w:color w:val="auto"/>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34925</wp:posOffset>
                </wp:positionV>
                <wp:extent cx="5615940" cy="0"/>
                <wp:effectExtent l="0" t="0" r="0" b="0"/>
                <wp:wrapNone/>
                <wp:docPr id="1" name="直线 2"/>
                <wp:cNvGraphicFramePr/>
                <a:graphic xmlns:a="http://schemas.openxmlformats.org/drawingml/2006/main">
                  <a:graphicData uri="http://schemas.microsoft.com/office/word/2010/wordprocessingShape">
                    <wps:wsp>
                      <wps:cNvCnPr/>
                      <wps:spPr>
                        <a:xfrm>
                          <a:off x="0" y="0"/>
                          <a:ext cx="5615940" cy="0"/>
                        </a:xfrm>
                        <a:prstGeom prst="line">
                          <a:avLst/>
                        </a:prstGeom>
                        <a:ln w="15875">
                          <a:noFill/>
                        </a:ln>
                      </wps:spPr>
                      <wps:bodyPr/>
                    </wps:wsp>
                  </a:graphicData>
                </a:graphic>
              </wp:anchor>
            </w:drawing>
          </mc:Choice>
          <mc:Fallback>
            <w:pict>
              <v:line id="直线 2" o:spid="_x0000_s1026" o:spt="20" style="position:absolute;left:0pt;margin-left:0pt;margin-top:2.75pt;height:0pt;width:442.2pt;z-index:251658240;mso-width-relative:page;mso-height-relative:page;" filled="f" stroked="f" coordsize="21600,21600" o:gfxdata="UEsDBAoAAAAAAIdO4kAAAAAAAAAAAAAAAAAEAAAAZHJzL1BLAwQUAAAACACHTuJAR3bKz9UAAAAE&#10;AQAADwAAAGRycy9kb3ducmV2LnhtbE2PMU/DMBSEdyT+g/WQWCpqtzQoCnE6gBgQQoXSpdtr/EgC&#10;9nMUu2n49xgWGE93uvuuXE/OipGG0HnWsJgrEMS1Nx03GnZvD1c5iBCRDVrPpOGLAqyr87MSC+NP&#10;/ErjNjYilXAoUEMbY19IGeqWHIa574mT9+4HhzHJoZFmwFMqd1YulbqRDjtOCy32dNdS/bk9Og0u&#10;V9ezp8Y+L++nzfgye8w+NuNe68uLhboFEWmKf2H4wU/oUCWmgz+yCcJqSEeihiwDkcw8X61AHH61&#10;rEr5H776BlBLAwQUAAAACACHTuJAwZpmDJQBAAAkAwAADgAAAGRycy9lMm9Eb2MueG1srVJLjhMx&#10;EN0jcQfLe9JJRIahlc4siIYNgkjAATzuctqSf6rypJOzcA1WbDjOXIOyO5NBw2YWbGzXx6/ee/b6&#10;5uidOACSjaGTi9lcCgg69jbsO/n92+2baykoq9ArFwN08gQkbzavX63H1MIyDtH1gIJBArVj6uSQ&#10;c2qbhvQAXtEsJghcNBG9yhzivulRjYzuXbOcz6+aMWKfMGog4ux2KsozIr4EMBpjNWyjvvcQ8oSK&#10;4FRmSTTYRHJT2RoDOn8xhiAL10lWmuvKQ/h8V9Zms1btHlUarD5TUC+h8EyTVzbw0AvUVmUl7tH+&#10;A+WtxkjR5JmOvpmEVEdYxWL+zJuvg0pQtbDVlC6m0/+D1Z8POxS2558gRVCeH/zhx8+HX7/Fsngz&#10;Jmq55UPY4TmitMMi9GjQl50liGP183TxE45ZaE6urhar92/Zav1Ya54uJqT8EaIX5dBJZ0ORqlp1&#10;+ESZh3HrY0tJuyBGJrm6freqbSHeWuemPhe4vVCdyJXTXexPlXPNs3kV8PzQ5XX+juvtp8+9+Q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BHdsrP1QAAAAQBAAAPAAAAAAAAAAEAIAAAACIAAABkcnMv&#10;ZG93bnJldi54bWxQSwECFAAUAAAACACHTuJAwZpmDJQBAAAkAwAADgAAAAAAAAABACAAAAAkAQAA&#10;ZHJzL2Uyb0RvYy54bWxQSwUGAAAAAAYABgBZAQAAKgUAAAAA&#10;">
                <v:fill on="f" focussize="0,0"/>
                <v:stroke on="f" weight="1.25pt"/>
                <v:imagedata o:title=""/>
                <o:lock v:ext="edit" aspectratio="f"/>
              </v:line>
            </w:pict>
          </mc:Fallback>
        </mc:AlternateContent>
      </w:r>
    </w:p>
    <w:p>
      <w:pPr>
        <w:jc w:val="center"/>
        <w:rPr>
          <w:color w:val="auto"/>
          <w:szCs w:val="32"/>
        </w:rPr>
      </w:pPr>
    </w:p>
    <w:p>
      <w:pPr>
        <w:snapToGrid w:val="0"/>
        <w:spacing w:line="264" w:lineRule="auto"/>
        <w:jc w:val="center"/>
        <w:rPr>
          <w:rFonts w:eastAsia="方正小标宋简体"/>
          <w:color w:val="auto"/>
          <w:sz w:val="42"/>
          <w:szCs w:val="42"/>
        </w:rPr>
      </w:pPr>
      <w:r>
        <w:rPr>
          <w:rFonts w:eastAsia="方正小标宋简体"/>
          <w:color w:val="auto"/>
          <w:sz w:val="42"/>
          <w:szCs w:val="42"/>
        </w:rPr>
        <w:t>郑州市全民技能振兴工程领导小组办公室</w:t>
      </w:r>
    </w:p>
    <w:p>
      <w:pPr>
        <w:snapToGrid w:val="0"/>
        <w:spacing w:line="264" w:lineRule="auto"/>
        <w:jc w:val="center"/>
        <w:rPr>
          <w:rFonts w:eastAsia="方正小标宋简体"/>
          <w:color w:val="auto"/>
          <w:sz w:val="42"/>
          <w:szCs w:val="42"/>
        </w:rPr>
      </w:pPr>
      <w:r>
        <w:rPr>
          <w:rFonts w:eastAsia="方正小标宋简体"/>
          <w:color w:val="auto"/>
          <w:sz w:val="42"/>
          <w:szCs w:val="42"/>
        </w:rPr>
        <w:t>关于印发</w:t>
      </w:r>
      <w:r>
        <w:rPr>
          <w:rFonts w:hint="eastAsia" w:eastAsia="方正小标宋简体"/>
          <w:color w:val="auto"/>
          <w:sz w:val="42"/>
          <w:szCs w:val="42"/>
          <w:lang w:eastAsia="zh-CN"/>
        </w:rPr>
        <w:t>《</w:t>
      </w:r>
      <w:r>
        <w:rPr>
          <w:rFonts w:eastAsia="方正小标宋简体"/>
          <w:color w:val="auto"/>
          <w:sz w:val="42"/>
          <w:szCs w:val="42"/>
        </w:rPr>
        <w:t>202</w:t>
      </w:r>
      <w:r>
        <w:rPr>
          <w:rFonts w:hint="eastAsia" w:eastAsia="方正小标宋简体"/>
          <w:color w:val="auto"/>
          <w:sz w:val="42"/>
          <w:szCs w:val="42"/>
        </w:rPr>
        <w:t>1</w:t>
      </w:r>
      <w:r>
        <w:rPr>
          <w:rFonts w:eastAsia="方正小标宋简体"/>
          <w:color w:val="auto"/>
          <w:sz w:val="42"/>
          <w:szCs w:val="42"/>
        </w:rPr>
        <w:t>年郑州市全民技能振兴工程暨</w:t>
      </w:r>
    </w:p>
    <w:p>
      <w:pPr>
        <w:snapToGrid w:val="0"/>
        <w:spacing w:line="264" w:lineRule="auto"/>
        <w:jc w:val="center"/>
        <w:rPr>
          <w:rFonts w:eastAsia="方正小标宋简体"/>
          <w:color w:val="auto"/>
          <w:sz w:val="42"/>
          <w:szCs w:val="42"/>
        </w:rPr>
      </w:pPr>
      <w:r>
        <w:rPr>
          <w:rFonts w:eastAsia="方正小标宋简体"/>
          <w:color w:val="auto"/>
          <w:sz w:val="42"/>
          <w:szCs w:val="42"/>
        </w:rPr>
        <w:t>职业技能提升行动工作方案</w:t>
      </w:r>
      <w:r>
        <w:rPr>
          <w:rFonts w:hint="eastAsia" w:eastAsia="方正小标宋简体"/>
          <w:color w:val="auto"/>
          <w:sz w:val="42"/>
          <w:szCs w:val="42"/>
          <w:lang w:eastAsia="zh-CN"/>
        </w:rPr>
        <w:t>》</w:t>
      </w:r>
      <w:r>
        <w:rPr>
          <w:rFonts w:eastAsia="方正小标宋简体"/>
          <w:color w:val="auto"/>
          <w:sz w:val="42"/>
          <w:szCs w:val="42"/>
        </w:rPr>
        <w:t>的通知</w:t>
      </w:r>
    </w:p>
    <w:p>
      <w:pPr>
        <w:rPr>
          <w:color w:val="auto"/>
        </w:rPr>
      </w:pPr>
    </w:p>
    <w:p>
      <w:pPr>
        <w:rPr>
          <w:color w:val="auto"/>
        </w:rPr>
      </w:pPr>
      <w:r>
        <w:rPr>
          <w:rFonts w:hint="eastAsia"/>
          <w:color w:val="auto"/>
          <w:lang w:eastAsia="zh-CN"/>
        </w:rPr>
        <w:t>各开发区管委会，</w:t>
      </w:r>
      <w:r>
        <w:rPr>
          <w:color w:val="auto"/>
        </w:rPr>
        <w:t>各</w:t>
      </w:r>
      <w:r>
        <w:rPr>
          <w:rFonts w:hint="eastAsia"/>
          <w:color w:val="auto"/>
        </w:rPr>
        <w:t>区县</w:t>
      </w:r>
      <w:r>
        <w:rPr>
          <w:rFonts w:hint="eastAsia"/>
          <w:color w:val="auto"/>
          <w:lang w:eastAsia="zh-CN"/>
        </w:rPr>
        <w:t>（</w:t>
      </w:r>
      <w:r>
        <w:rPr>
          <w:rFonts w:hint="eastAsia"/>
          <w:color w:val="auto"/>
        </w:rPr>
        <w:t>市</w:t>
      </w:r>
      <w:r>
        <w:rPr>
          <w:color w:val="auto"/>
        </w:rPr>
        <w:t>）人民政府，市人民政府有关部门，各有关单位：</w:t>
      </w:r>
    </w:p>
    <w:p>
      <w:pPr>
        <w:ind w:firstLine="632" w:firstLineChars="200"/>
        <w:rPr>
          <w:color w:val="auto"/>
        </w:rPr>
      </w:pPr>
      <w:r>
        <w:rPr>
          <w:color w:val="auto"/>
        </w:rPr>
        <w:t>现将《202</w:t>
      </w:r>
      <w:r>
        <w:rPr>
          <w:rFonts w:hint="eastAsia"/>
          <w:color w:val="auto"/>
        </w:rPr>
        <w:t>1</w:t>
      </w:r>
      <w:r>
        <w:rPr>
          <w:color w:val="auto"/>
        </w:rPr>
        <w:t>年郑州市全民技能振兴工程暨职业技能提升行动工作方案》印发给你们，请结合实际，认真抓好贯彻落实。</w:t>
      </w:r>
    </w:p>
    <w:p>
      <w:pPr>
        <w:ind w:firstLine="1608" w:firstLineChars="509"/>
        <w:rPr>
          <w:color w:val="auto"/>
          <w:szCs w:val="32"/>
        </w:rPr>
      </w:pPr>
    </w:p>
    <w:p>
      <w:pPr>
        <w:ind w:firstLine="1608" w:firstLineChars="509"/>
        <w:rPr>
          <w:color w:val="auto"/>
          <w:szCs w:val="32"/>
        </w:rPr>
      </w:pPr>
    </w:p>
    <w:p>
      <w:pPr>
        <w:ind w:firstLine="1608" w:firstLineChars="509"/>
        <w:rPr>
          <w:color w:val="auto"/>
          <w:szCs w:val="32"/>
        </w:rPr>
      </w:pPr>
    </w:p>
    <w:p>
      <w:pPr>
        <w:wordWrap w:val="0"/>
        <w:ind w:firstLine="1608" w:firstLineChars="509"/>
        <w:jc w:val="right"/>
        <w:rPr>
          <w:color w:val="auto"/>
          <w:szCs w:val="32"/>
        </w:rPr>
      </w:pPr>
      <w:r>
        <w:rPr>
          <w:color w:val="auto"/>
          <w:szCs w:val="32"/>
        </w:rPr>
        <w:t>202</w:t>
      </w:r>
      <w:r>
        <w:rPr>
          <w:rFonts w:hint="eastAsia"/>
          <w:color w:val="auto"/>
          <w:szCs w:val="32"/>
        </w:rPr>
        <w:t>1</w:t>
      </w:r>
      <w:r>
        <w:rPr>
          <w:color w:val="auto"/>
          <w:szCs w:val="32"/>
        </w:rPr>
        <w:t>年</w:t>
      </w:r>
      <w:r>
        <w:rPr>
          <w:rFonts w:hint="eastAsia"/>
          <w:color w:val="auto"/>
          <w:szCs w:val="32"/>
        </w:rPr>
        <w:t>3</w:t>
      </w:r>
      <w:r>
        <w:rPr>
          <w:color w:val="auto"/>
          <w:szCs w:val="32"/>
        </w:rPr>
        <w:t>月</w:t>
      </w:r>
      <w:r>
        <w:rPr>
          <w:rFonts w:hint="eastAsia"/>
          <w:color w:val="auto"/>
          <w:szCs w:val="32"/>
          <w:lang w:val="en-US" w:eastAsia="zh-CN"/>
        </w:rPr>
        <w:t>22</w:t>
      </w:r>
      <w:r>
        <w:rPr>
          <w:color w:val="auto"/>
          <w:szCs w:val="32"/>
        </w:rPr>
        <w:t xml:space="preserve">日        </w:t>
      </w:r>
    </w:p>
    <w:p>
      <w:pPr>
        <w:jc w:val="left"/>
        <w:rPr>
          <w:rFonts w:eastAsia="黑体"/>
          <w:bCs/>
          <w:color w:val="auto"/>
          <w:szCs w:val="32"/>
        </w:rPr>
      </w:pPr>
    </w:p>
    <w:p>
      <w:pPr>
        <w:pStyle w:val="2"/>
        <w:rPr>
          <w:rFonts w:ascii="Times New Roman" w:eastAsia="黑体" w:cs="Times New Roman"/>
          <w:bCs/>
          <w:color w:val="auto"/>
          <w:sz w:val="32"/>
          <w:szCs w:val="32"/>
        </w:rPr>
      </w:pPr>
    </w:p>
    <w:p>
      <w:pPr>
        <w:ind w:firstLine="632" w:firstLineChars="200"/>
        <w:rPr>
          <w:rFonts w:hint="eastAsia"/>
          <w:color w:val="auto"/>
          <w:lang w:eastAsia="zh-CN"/>
        </w:rPr>
      </w:pPr>
      <w:r>
        <w:rPr>
          <w:rFonts w:hint="eastAsia"/>
          <w:color w:val="auto"/>
          <w:lang w:eastAsia="zh-CN"/>
        </w:rPr>
        <w:t>（此件主动公开）</w:t>
      </w:r>
    </w:p>
    <w:p>
      <w:pPr>
        <w:ind w:firstLine="632" w:firstLineChars="200"/>
        <w:rPr>
          <w:rFonts w:hint="eastAsia"/>
          <w:color w:val="auto"/>
          <w:lang w:eastAsia="zh-CN"/>
        </w:rPr>
      </w:pPr>
      <w:r>
        <w:rPr>
          <w:rFonts w:hint="eastAsia"/>
          <w:color w:val="auto"/>
          <w:lang w:eastAsia="zh-CN"/>
        </w:rPr>
        <w:t>（联系单位：职业能力建设处）</w:t>
      </w:r>
    </w:p>
    <w:p>
      <w:pPr>
        <w:pStyle w:val="2"/>
        <w:rPr>
          <w:rFonts w:ascii="Times New Roman" w:eastAsia="黑体" w:cs="Times New Roman"/>
          <w:bCs/>
          <w:color w:val="auto"/>
          <w:sz w:val="32"/>
          <w:szCs w:val="32"/>
        </w:rPr>
      </w:pPr>
    </w:p>
    <w:p>
      <w:pPr>
        <w:pStyle w:val="2"/>
        <w:rPr>
          <w:rFonts w:ascii="Times New Roman" w:eastAsia="黑体" w:cs="Times New Roman"/>
          <w:bCs/>
          <w:color w:val="auto"/>
          <w:sz w:val="32"/>
          <w:szCs w:val="32"/>
        </w:rPr>
      </w:pPr>
    </w:p>
    <w:p>
      <w:pPr>
        <w:pStyle w:val="2"/>
        <w:rPr>
          <w:rFonts w:ascii="Times New Roman" w:eastAsia="黑体" w:cs="Times New Roman"/>
          <w:bCs/>
          <w:color w:val="auto"/>
          <w:sz w:val="32"/>
          <w:szCs w:val="32"/>
        </w:rPr>
      </w:pPr>
    </w:p>
    <w:p>
      <w:pPr>
        <w:pStyle w:val="2"/>
        <w:rPr>
          <w:color w:val="auto"/>
        </w:rPr>
      </w:pPr>
    </w:p>
    <w:p>
      <w:pPr>
        <w:snapToGrid w:val="0"/>
        <w:spacing w:line="264" w:lineRule="auto"/>
        <w:jc w:val="center"/>
        <w:rPr>
          <w:rFonts w:eastAsia="方正小标宋简体"/>
          <w:color w:val="auto"/>
          <w:sz w:val="42"/>
          <w:szCs w:val="42"/>
        </w:rPr>
      </w:pPr>
      <w:r>
        <w:rPr>
          <w:rFonts w:eastAsia="方正小标宋简体"/>
          <w:color w:val="auto"/>
          <w:sz w:val="42"/>
          <w:szCs w:val="42"/>
        </w:rPr>
        <w:t>202</w:t>
      </w:r>
      <w:r>
        <w:rPr>
          <w:rFonts w:hint="eastAsia" w:eastAsia="方正小标宋简体"/>
          <w:color w:val="auto"/>
          <w:sz w:val="42"/>
          <w:szCs w:val="42"/>
        </w:rPr>
        <w:t>1</w:t>
      </w:r>
      <w:r>
        <w:rPr>
          <w:rFonts w:eastAsia="方正小标宋简体"/>
          <w:color w:val="auto"/>
          <w:sz w:val="42"/>
          <w:szCs w:val="42"/>
        </w:rPr>
        <w:t>年郑州市全民技能振兴工程暨</w:t>
      </w:r>
    </w:p>
    <w:p>
      <w:pPr>
        <w:snapToGrid w:val="0"/>
        <w:spacing w:line="264" w:lineRule="auto"/>
        <w:jc w:val="center"/>
        <w:rPr>
          <w:rFonts w:eastAsia="方正小标宋简体"/>
          <w:color w:val="auto"/>
          <w:sz w:val="42"/>
          <w:szCs w:val="42"/>
        </w:rPr>
      </w:pPr>
      <w:r>
        <w:rPr>
          <w:rFonts w:eastAsia="方正小标宋简体"/>
          <w:color w:val="auto"/>
          <w:sz w:val="42"/>
          <w:szCs w:val="42"/>
        </w:rPr>
        <w:t>职业技能提升行动工作方案</w:t>
      </w:r>
    </w:p>
    <w:p>
      <w:pPr>
        <w:pStyle w:val="7"/>
        <w:widowControl w:val="0"/>
        <w:spacing w:before="0" w:beforeAutospacing="0" w:after="0" w:afterAutospacing="0"/>
        <w:ind w:firstLine="632" w:firstLineChars="200"/>
        <w:jc w:val="both"/>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一、目标任务</w:t>
      </w:r>
    </w:p>
    <w:p>
      <w:pPr>
        <w:pStyle w:val="7"/>
        <w:widowControl w:val="0"/>
        <w:spacing w:before="0" w:beforeAutospacing="0" w:after="0" w:afterAutospacing="0"/>
        <w:ind w:firstLine="632"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全年开展各级各类职业技能培训70万人次以上，其中补贴性职业技能培训</w:t>
      </w:r>
      <w:r>
        <w:rPr>
          <w:rFonts w:hint="eastAsia" w:ascii="Times New Roman" w:hAnsi="Times New Roman" w:eastAsia="仿宋_GB2312" w:cs="Times New Roman"/>
          <w:color w:val="auto"/>
          <w:sz w:val="32"/>
          <w:szCs w:val="32"/>
        </w:rPr>
        <w:t>35</w:t>
      </w:r>
      <w:r>
        <w:rPr>
          <w:rFonts w:ascii="Times New Roman" w:hAnsi="Times New Roman" w:eastAsia="仿宋_GB2312" w:cs="Times New Roman"/>
          <w:color w:val="auto"/>
          <w:sz w:val="32"/>
          <w:szCs w:val="32"/>
        </w:rPr>
        <w:t>万人次以上，新培养高技能人才1.85万人以上</w:t>
      </w:r>
      <w:r>
        <w:rPr>
          <w:rFonts w:hint="eastAsia" w:ascii="Times New Roman" w:hAnsi="Times New Roman" w:eastAsia="仿宋_GB2312" w:cs="Times New Roman"/>
          <w:color w:val="auto"/>
          <w:sz w:val="32"/>
          <w:szCs w:val="32"/>
        </w:rPr>
        <w:t>，企业新型学徒制培养1.05万人</w:t>
      </w:r>
      <w:r>
        <w:rPr>
          <w:rFonts w:ascii="Times New Roman" w:hAnsi="Times New Roman" w:eastAsia="仿宋_GB2312" w:cs="Times New Roman"/>
          <w:color w:val="auto"/>
          <w:sz w:val="32"/>
          <w:szCs w:val="32"/>
        </w:rPr>
        <w:t>（目标任务分解见附件）。</w:t>
      </w:r>
    </w:p>
    <w:p>
      <w:pPr>
        <w:ind w:firstLine="632" w:firstLineChars="200"/>
        <w:rPr>
          <w:color w:val="auto"/>
          <w:szCs w:val="32"/>
        </w:rPr>
      </w:pPr>
      <w:r>
        <w:rPr>
          <w:rFonts w:eastAsia="黑体"/>
          <w:color w:val="auto"/>
          <w:szCs w:val="32"/>
        </w:rPr>
        <w:t>二、培训对象</w:t>
      </w:r>
    </w:p>
    <w:p>
      <w:pPr>
        <w:pStyle w:val="2"/>
        <w:ind w:firstLine="632" w:firstLineChars="200"/>
        <w:rPr>
          <w:rFonts w:cs="Times New Roman"/>
          <w:color w:val="auto"/>
          <w:kern w:val="2"/>
          <w:sz w:val="32"/>
          <w:szCs w:val="32"/>
        </w:rPr>
      </w:pPr>
      <w:r>
        <w:rPr>
          <w:rFonts w:hint="eastAsia" w:cs="Times New Roman"/>
          <w:color w:val="auto"/>
          <w:kern w:val="2"/>
          <w:sz w:val="32"/>
          <w:szCs w:val="32"/>
        </w:rPr>
        <w:t>坚持就业导向、质量导向，以高质量培训促进高质量就业，打造新年度培训品牌和亮点；重点围绕企业在职职工、就业重点群体、已脱贫劳动力等各类劳动者开展培训。</w:t>
      </w:r>
    </w:p>
    <w:p>
      <w:pPr>
        <w:pStyle w:val="7"/>
        <w:widowControl w:val="0"/>
        <w:numPr>
          <w:ilvl w:val="0"/>
          <w:numId w:val="1"/>
        </w:numPr>
        <w:spacing w:before="0" w:beforeAutospacing="0" w:after="0" w:afterAutospacing="0"/>
        <w:ind w:firstLine="632" w:firstLineChars="200"/>
        <w:jc w:val="both"/>
        <w:rPr>
          <w:rFonts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rPr>
        <w:t>大力开展职业技能提升培训</w:t>
      </w:r>
    </w:p>
    <w:p>
      <w:pPr>
        <w:pStyle w:val="7"/>
        <w:widowControl w:val="0"/>
        <w:spacing w:before="0" w:beforeAutospacing="0" w:after="0" w:afterAutospacing="0"/>
        <w:ind w:firstLine="632" w:firstLineChars="200"/>
        <w:jc w:val="both"/>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紧紧围绕郑州市国家中心城市建设、中原科技城、服务“一带一路”战略、黄河流域生态保护和高质量发展等，在继续依托郑州市“1+16+X”人才培训工程的基础上重点抓好以下几方面的提升培训工作。</w:t>
      </w:r>
    </w:p>
    <w:p>
      <w:pPr>
        <w:pStyle w:val="7"/>
        <w:widowControl w:val="0"/>
        <w:spacing w:before="0" w:beforeAutospacing="0" w:after="0" w:afterAutospacing="0"/>
        <w:ind w:firstLine="632" w:firstLineChars="200"/>
        <w:jc w:val="both"/>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一）加大企业职工技能提升培训力度。围绕郑州市先进装备制造、战略新兴产业及交通、航空物流、餐饮、服装、建筑、黄河生态保护和高质量发展等主导产业和现代服务行业，持续深入推进技能提升培训。一是推行企业新录用人员岗前培训，在员工入职12个月内，根据岗位需求和企业发展需要实施有针对性的职业道德、工匠精神、疫情防控、安全常识、专业素养等方面的技能提升培训，按每人600元的标准给予企业或培训机构补贴。二是鼓励企业开展在岗培训、脱产培训、线上+线下融合学习等职业技能培训，提高从业人员素质和服务水平，对参加规定学时要求培训经考核取得与本职工作有关的培训合格证、初级工、中级工、高级工等国家职业资格证或职业技能等级证书的，分别按照1000元、1500元、2000元、2500元的标准给予技能提升补贴（脱产培训合格证书按照每人1200元标准）。</w:t>
      </w:r>
    </w:p>
    <w:p>
      <w:pPr>
        <w:pStyle w:val="7"/>
        <w:widowControl w:val="0"/>
        <w:numPr>
          <w:ilvl w:val="0"/>
          <w:numId w:val="2"/>
        </w:numPr>
        <w:spacing w:before="0" w:beforeAutospacing="0" w:after="0" w:afterAutospacing="0"/>
        <w:ind w:left="12" w:firstLine="620" w:firstLineChars="196"/>
        <w:jc w:val="both"/>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实施就业重点群体就业创业技能提升计划。引导农村转移就业劳动者特别是新生代农民工、乡村振兴战略高素质农民、下岗失业人员、退役军人、残疾人等群体，按区域、行业企业和培训就业需求，实施就业技能培训、职业技能提升培训等免费项目。加强创业培训公共服务，创新创业培训模式，强化创业培训项目开发，围绕郑州市高校毕业生主体，对符合条件且有创业愿望的重点群体开展免费创业培训。</w:t>
      </w:r>
    </w:p>
    <w:p>
      <w:pPr>
        <w:pStyle w:val="7"/>
        <w:widowControl w:val="0"/>
        <w:spacing w:before="0" w:beforeAutospacing="0" w:after="0" w:afterAutospacing="0"/>
        <w:ind w:left="18" w:leftChars="6" w:firstLine="597" w:firstLineChars="189"/>
        <w:rPr>
          <w:rFonts w:asciiTheme="minorEastAsia" w:hAnsiTheme="minorEastAsia" w:cstheme="minorEastAsia"/>
          <w:color w:val="auto"/>
          <w:sz w:val="32"/>
          <w:szCs w:val="32"/>
        </w:rPr>
      </w:pPr>
      <w:r>
        <w:rPr>
          <w:rFonts w:hint="eastAsia" w:ascii="Times New Roman" w:hAnsi="Times New Roman" w:eastAsia="仿宋_GB2312" w:cs="Times New Roman"/>
          <w:color w:val="auto"/>
          <w:sz w:val="32"/>
          <w:szCs w:val="32"/>
        </w:rPr>
        <w:t>（三）推进实施高质量的企业新型学徒制培训项目（含“码农计划”）。坚持以政府引导、企业为主、院校参与的原则，通过企校联合、双师带徒、工学一体的模式，统筹推进全市企业新型学徒制项目工作的开展，适当控制2021年参与学徒培养企业申报人数，确保培训质量。培训机构参与学徒培养，应具备较强的师资力量配备、教学实践场地、良好社会信誉等优质办学条件。</w:t>
      </w:r>
      <w:r>
        <w:rPr>
          <w:rFonts w:hint="eastAsia" w:ascii="Times New Roman" w:hAnsi="Times New Roman" w:eastAsia="仿宋_GB2312" w:cs="Times New Roman"/>
          <w:color w:val="auto"/>
          <w:sz w:val="32"/>
          <w:szCs w:val="32"/>
          <w:lang w:eastAsia="zh-CN"/>
        </w:rPr>
        <w:t>择优</w:t>
      </w:r>
      <w:r>
        <w:rPr>
          <w:rFonts w:hint="eastAsia" w:ascii="Times New Roman" w:hAnsi="Times New Roman" w:eastAsia="仿宋_GB2312" w:cs="Times New Roman"/>
          <w:color w:val="auto"/>
          <w:sz w:val="32"/>
          <w:szCs w:val="32"/>
        </w:rPr>
        <w:t>选定适合培养大数据人才培养“码农计划”和青年技能人才研修培训的优质培训机构参与学徒培养工作。指导和督促参与2019和2020年学徒培养的企业和培训机构认真扎实开展学徒培养、结业考核、结业资料提交、资金申领认定等工作。</w:t>
      </w:r>
    </w:p>
    <w:p>
      <w:pPr>
        <w:pStyle w:val="7"/>
        <w:widowControl w:val="0"/>
        <w:spacing w:before="0" w:beforeAutospacing="0" w:after="0" w:afterAutospacing="0"/>
        <w:ind w:left="12" w:firstLine="620" w:firstLineChars="196"/>
        <w:jc w:val="both"/>
        <w:rPr>
          <w:rFonts w:asciiTheme="minorEastAsia" w:hAnsiTheme="minorEastAsia" w:cstheme="minorEastAsia"/>
          <w:color w:val="auto"/>
          <w:sz w:val="32"/>
          <w:szCs w:val="32"/>
        </w:rPr>
      </w:pPr>
      <w:r>
        <w:rPr>
          <w:rFonts w:hint="eastAsia" w:ascii="Times New Roman" w:hAnsi="Times New Roman" w:eastAsia="仿宋_GB2312" w:cs="Times New Roman"/>
          <w:color w:val="auto"/>
          <w:sz w:val="32"/>
          <w:szCs w:val="32"/>
        </w:rPr>
        <w:t>（四）持续推进“项目制”补贴性培训。加强对“项目制”培训机构的动态指导管理，鼓励在职业技能提升培训推进中培训效果好、质量优的培训机构或企业培训中心，积极开展“项目制”补贴性培训项目，享受30%—50%预拨补贴。健全培训绩效评价机制，根据其培训内容、课程安排、培训规模、学员反馈、稳岗就业等情况给予综合评估。对达不到培训预期效果、学员出勤率低、结业人数比例过低的单位，视情况适时停止“项目制”补贴性培训和其他相应职业技能提升培训项目资质。</w:t>
      </w:r>
    </w:p>
    <w:p>
      <w:pPr>
        <w:pStyle w:val="7"/>
        <w:widowControl w:val="0"/>
        <w:spacing w:before="0" w:beforeAutospacing="0" w:after="0" w:afterAutospacing="0"/>
        <w:ind w:left="12" w:firstLine="620" w:firstLineChars="196"/>
        <w:jc w:val="both"/>
        <w:rPr>
          <w:rFonts w:ascii="Times New Roman" w:hAnsi="Times New Roman" w:eastAsia="仿宋_GB2312" w:cs="Times New Roman"/>
          <w:color w:val="auto"/>
          <w:kern w:val="2"/>
          <w:sz w:val="32"/>
          <w:szCs w:val="32"/>
        </w:rPr>
      </w:pPr>
      <w:r>
        <w:rPr>
          <w:rFonts w:hint="eastAsia" w:ascii="Times New Roman" w:hAnsi="Times New Roman" w:eastAsia="仿宋_GB2312" w:cs="Times New Roman"/>
          <w:color w:val="auto"/>
          <w:kern w:val="2"/>
          <w:sz w:val="32"/>
          <w:szCs w:val="32"/>
        </w:rPr>
        <w:t>（五）开展特色专项职业能力培训项目。围绕郑州建设国家中心城市发展经济社会发展需求，以促进就业、质量培训为导向，按照国家职业资格有关政策要求，以省厅发布的270个专项职业能力工种为依托，以优质培训机构为平台，持续推进专项职业能力培训考核工作,开发符合我市产业发展的专项职业能力考核规范，支持引导培训机构开展专项能力申报认定工作，严格培训质量，使专项职业能力真正成为就业兜底的保障。</w:t>
      </w:r>
    </w:p>
    <w:p>
      <w:pPr>
        <w:pStyle w:val="7"/>
        <w:widowControl w:val="0"/>
        <w:spacing w:before="0" w:beforeAutospacing="0" w:after="0" w:afterAutospacing="0"/>
        <w:ind w:left="12" w:firstLine="620" w:firstLineChars="196"/>
        <w:jc w:val="both"/>
        <w:rPr>
          <w:rFonts w:ascii="Times New Roman" w:hAnsi="Times New Roman" w:eastAsia="仿宋" w:cs="Times New Roman"/>
          <w:color w:val="auto"/>
          <w:kern w:val="2"/>
          <w:sz w:val="32"/>
          <w:szCs w:val="32"/>
        </w:rPr>
      </w:pPr>
      <w:r>
        <w:rPr>
          <w:rFonts w:hint="eastAsia" w:ascii="Times New Roman" w:hAnsi="Times New Roman" w:eastAsia="仿宋_GB2312" w:cs="Times New Roman"/>
          <w:color w:val="auto"/>
          <w:kern w:val="2"/>
          <w:sz w:val="32"/>
          <w:szCs w:val="32"/>
        </w:rPr>
        <w:t>（六）实施乡村振兴技能提升计划。</w:t>
      </w:r>
      <w:r>
        <w:rPr>
          <w:rFonts w:hint="eastAsia" w:ascii="仿宋" w:hAnsi="仿宋" w:eastAsia="仿宋"/>
          <w:color w:val="auto"/>
          <w:sz w:val="32"/>
          <w:szCs w:val="32"/>
        </w:rPr>
        <w:t>落实乡村振兴战略，持续推进职业院校（含技工院校）、民办职业培训机构与已脱贫村帮扶结对“1+N”合作，面向已脱贫劳动力开展免费技能培训，巩固发展脱贫攻坚成果。</w:t>
      </w:r>
    </w:p>
    <w:p>
      <w:pPr>
        <w:pStyle w:val="7"/>
        <w:widowControl w:val="0"/>
        <w:spacing w:before="0" w:beforeAutospacing="0" w:after="0" w:afterAutospacing="0"/>
        <w:ind w:firstLine="632" w:firstLineChars="200"/>
        <w:jc w:val="both"/>
        <w:rPr>
          <w:rFonts w:ascii="黑体" w:hAnsi="黑体" w:eastAsia="黑体" w:cs="黑体"/>
          <w:color w:val="auto"/>
          <w:sz w:val="32"/>
          <w:szCs w:val="32"/>
        </w:rPr>
      </w:pPr>
      <w:r>
        <w:rPr>
          <w:rFonts w:hint="eastAsia" w:ascii="Times New Roman" w:hAnsi="Times New Roman" w:eastAsia="仿宋_GB2312" w:cs="Times New Roman"/>
          <w:color w:val="auto"/>
          <w:kern w:val="2"/>
          <w:sz w:val="32"/>
          <w:szCs w:val="32"/>
        </w:rPr>
        <w:t>（七）实施“幸福郑州”从业人员技能提升计划。着眼提升城市建设质量水平和建设郑州生态文明、绿色环保、幸福宜居城市目标，满足人民群众日益增长的美好生活需要，加强劳动协管、园林绿化、环境环保、安保服务，城市卫生、低碳出行、垃圾分类、清洁家园、物业城管、社区服务等行业领域从业人员技能提升培训。</w:t>
      </w:r>
    </w:p>
    <w:p>
      <w:pPr>
        <w:pStyle w:val="7"/>
        <w:widowControl w:val="0"/>
        <w:spacing w:before="0" w:beforeAutospacing="0" w:after="0" w:afterAutospacing="0"/>
        <w:ind w:firstLine="632" w:firstLineChars="200"/>
        <w:jc w:val="both"/>
        <w:rPr>
          <w:rFonts w:ascii="Times New Roman" w:hAnsi="Times New Roman" w:eastAsia="楷体_GB2312" w:cs="Times New Roman"/>
          <w:color w:val="auto"/>
          <w:sz w:val="32"/>
          <w:szCs w:val="32"/>
        </w:rPr>
      </w:pPr>
      <w:r>
        <w:rPr>
          <w:rFonts w:hint="eastAsia" w:ascii="黑体" w:hAnsi="黑体" w:eastAsia="黑体" w:cs="黑体"/>
          <w:color w:val="auto"/>
          <w:sz w:val="32"/>
          <w:szCs w:val="32"/>
        </w:rPr>
        <w:t>四、调动培训主体积极性</w:t>
      </w:r>
    </w:p>
    <w:p>
      <w:pPr>
        <w:pStyle w:val="2"/>
        <w:ind w:firstLine="632" w:firstLineChars="200"/>
        <w:rPr>
          <w:rFonts w:ascii="Times New Roman" w:eastAsia="仿宋_GB2312" w:cs="Times New Roman"/>
          <w:color w:val="auto"/>
          <w:kern w:val="2"/>
          <w:sz w:val="32"/>
          <w:szCs w:val="32"/>
        </w:rPr>
      </w:pPr>
      <w:r>
        <w:rPr>
          <w:rFonts w:hint="eastAsia" w:ascii="Times New Roman" w:eastAsia="仿宋_GB2312" w:cs="Times New Roman"/>
          <w:color w:val="auto"/>
          <w:kern w:val="2"/>
          <w:sz w:val="32"/>
          <w:szCs w:val="32"/>
        </w:rPr>
        <w:t>（一）充分发挥企业培训主体引领作用</w:t>
      </w:r>
      <w:r>
        <w:rPr>
          <w:rFonts w:ascii="Times New Roman" w:eastAsia="仿宋_GB2312" w:cs="Times New Roman"/>
          <w:color w:val="auto"/>
          <w:kern w:val="2"/>
          <w:sz w:val="32"/>
          <w:szCs w:val="32"/>
        </w:rPr>
        <w:t>。</w:t>
      </w:r>
      <w:r>
        <w:rPr>
          <w:rFonts w:hint="eastAsia" w:ascii="Times New Roman" w:eastAsia="仿宋_GB2312" w:cs="Times New Roman"/>
          <w:color w:val="auto"/>
          <w:kern w:val="2"/>
          <w:sz w:val="32"/>
          <w:szCs w:val="32"/>
        </w:rPr>
        <w:t>围绕稳岗就业、质量培训的导向，积极鼓励</w:t>
      </w:r>
      <w:r>
        <w:rPr>
          <w:rFonts w:ascii="Times New Roman" w:eastAsia="仿宋_GB2312" w:cs="Times New Roman"/>
          <w:color w:val="auto"/>
          <w:kern w:val="2"/>
          <w:sz w:val="32"/>
          <w:szCs w:val="32"/>
        </w:rPr>
        <w:t>规模以上</w:t>
      </w:r>
      <w:r>
        <w:rPr>
          <w:rFonts w:hint="eastAsia" w:ascii="Times New Roman" w:eastAsia="仿宋_GB2312" w:cs="Times New Roman"/>
          <w:color w:val="auto"/>
          <w:kern w:val="2"/>
          <w:sz w:val="32"/>
          <w:szCs w:val="32"/>
        </w:rPr>
        <w:t>的</w:t>
      </w:r>
      <w:r>
        <w:rPr>
          <w:rFonts w:ascii="Times New Roman" w:eastAsia="仿宋_GB2312" w:cs="Times New Roman"/>
          <w:color w:val="auto"/>
          <w:kern w:val="2"/>
          <w:sz w:val="32"/>
          <w:szCs w:val="32"/>
        </w:rPr>
        <w:t>企业或者就业</w:t>
      </w:r>
      <w:r>
        <w:rPr>
          <w:rFonts w:hint="eastAsia" w:ascii="Times New Roman" w:eastAsia="仿宋_GB2312" w:cs="Times New Roman"/>
          <w:color w:val="auto"/>
          <w:kern w:val="2"/>
          <w:sz w:val="32"/>
          <w:szCs w:val="32"/>
        </w:rPr>
        <w:t>人数</w:t>
      </w:r>
      <w:r>
        <w:rPr>
          <w:rFonts w:ascii="Times New Roman" w:eastAsia="仿宋_GB2312" w:cs="Times New Roman"/>
          <w:color w:val="auto"/>
          <w:kern w:val="2"/>
          <w:sz w:val="32"/>
          <w:szCs w:val="32"/>
        </w:rPr>
        <w:t>较多的企业</w:t>
      </w:r>
      <w:r>
        <w:rPr>
          <w:rFonts w:hint="eastAsia" w:ascii="Times New Roman" w:eastAsia="仿宋_GB2312" w:cs="Times New Roman"/>
          <w:color w:val="auto"/>
          <w:kern w:val="2"/>
          <w:sz w:val="32"/>
          <w:szCs w:val="32"/>
        </w:rPr>
        <w:t>申报备案和</w:t>
      </w:r>
      <w:r>
        <w:rPr>
          <w:rFonts w:ascii="Times New Roman" w:eastAsia="仿宋_GB2312" w:cs="Times New Roman"/>
          <w:color w:val="auto"/>
          <w:kern w:val="2"/>
          <w:sz w:val="32"/>
          <w:szCs w:val="32"/>
        </w:rPr>
        <w:t>设立</w:t>
      </w:r>
      <w:r>
        <w:rPr>
          <w:rFonts w:hint="eastAsia" w:ascii="Times New Roman" w:eastAsia="仿宋_GB2312" w:cs="Times New Roman"/>
          <w:color w:val="auto"/>
          <w:kern w:val="2"/>
          <w:sz w:val="32"/>
          <w:szCs w:val="32"/>
        </w:rPr>
        <w:t>企业</w:t>
      </w:r>
      <w:r>
        <w:rPr>
          <w:rFonts w:ascii="Times New Roman" w:eastAsia="仿宋_GB2312" w:cs="Times New Roman"/>
          <w:color w:val="auto"/>
          <w:kern w:val="2"/>
          <w:sz w:val="32"/>
          <w:szCs w:val="32"/>
        </w:rPr>
        <w:t>培训中心</w:t>
      </w:r>
      <w:r>
        <w:rPr>
          <w:rFonts w:hint="eastAsia" w:ascii="Times New Roman" w:eastAsia="仿宋_GB2312" w:cs="Times New Roman"/>
          <w:color w:val="auto"/>
          <w:kern w:val="2"/>
          <w:sz w:val="32"/>
          <w:szCs w:val="32"/>
        </w:rPr>
        <w:t>，</w:t>
      </w:r>
      <w:r>
        <w:rPr>
          <w:rFonts w:ascii="Times New Roman" w:eastAsia="仿宋_GB2312" w:cs="Times New Roman"/>
          <w:color w:val="auto"/>
          <w:kern w:val="2"/>
          <w:sz w:val="32"/>
          <w:szCs w:val="32"/>
        </w:rPr>
        <w:t>面向</w:t>
      </w:r>
      <w:r>
        <w:rPr>
          <w:rFonts w:hint="eastAsia" w:ascii="Times New Roman" w:eastAsia="仿宋_GB2312" w:cs="Times New Roman"/>
          <w:color w:val="auto"/>
          <w:kern w:val="2"/>
          <w:sz w:val="32"/>
          <w:szCs w:val="32"/>
        </w:rPr>
        <w:t>企业员工</w:t>
      </w:r>
      <w:r>
        <w:rPr>
          <w:rFonts w:ascii="Times New Roman" w:eastAsia="仿宋_GB2312" w:cs="Times New Roman"/>
          <w:color w:val="auto"/>
          <w:kern w:val="2"/>
          <w:sz w:val="32"/>
          <w:szCs w:val="32"/>
        </w:rPr>
        <w:t>开展职业技能培训，承接补贴性培训项目。</w:t>
      </w:r>
      <w:r>
        <w:rPr>
          <w:rFonts w:hint="eastAsia" w:ascii="Times New Roman" w:eastAsia="仿宋_GB2312" w:cs="Times New Roman"/>
          <w:color w:val="auto"/>
          <w:kern w:val="2"/>
          <w:sz w:val="32"/>
          <w:szCs w:val="32"/>
        </w:rPr>
        <w:t>鼓励</w:t>
      </w:r>
      <w:r>
        <w:rPr>
          <w:rFonts w:ascii="Times New Roman" w:eastAsia="仿宋_GB2312" w:cs="Times New Roman"/>
          <w:color w:val="auto"/>
          <w:kern w:val="2"/>
          <w:sz w:val="32"/>
          <w:szCs w:val="32"/>
        </w:rPr>
        <w:t>企业</w:t>
      </w:r>
      <w:r>
        <w:rPr>
          <w:rFonts w:hint="eastAsia" w:ascii="Times New Roman" w:eastAsia="仿宋_GB2312" w:cs="Times New Roman"/>
          <w:color w:val="auto"/>
          <w:kern w:val="2"/>
          <w:sz w:val="32"/>
          <w:szCs w:val="32"/>
        </w:rPr>
        <w:t>和</w:t>
      </w:r>
      <w:r>
        <w:rPr>
          <w:rFonts w:ascii="Times New Roman" w:eastAsia="仿宋_GB2312" w:cs="Times New Roman"/>
          <w:color w:val="auto"/>
          <w:kern w:val="2"/>
          <w:sz w:val="32"/>
          <w:szCs w:val="32"/>
        </w:rPr>
        <w:t>职业</w:t>
      </w:r>
      <w:r>
        <w:rPr>
          <w:rFonts w:hint="eastAsia" w:ascii="Times New Roman" w:eastAsia="仿宋_GB2312" w:cs="Times New Roman"/>
          <w:color w:val="auto"/>
          <w:kern w:val="2"/>
          <w:sz w:val="32"/>
          <w:szCs w:val="32"/>
        </w:rPr>
        <w:t>（技工）</w:t>
      </w:r>
      <w:r>
        <w:rPr>
          <w:rFonts w:ascii="Times New Roman" w:eastAsia="仿宋_GB2312" w:cs="Times New Roman"/>
          <w:color w:val="auto"/>
          <w:kern w:val="2"/>
          <w:sz w:val="32"/>
          <w:szCs w:val="32"/>
        </w:rPr>
        <w:t>院校共建实训中心、教学工厂等，积极建设产教融合型企业。加强校企合作，</w:t>
      </w:r>
      <w:r>
        <w:rPr>
          <w:rFonts w:hint="eastAsia" w:ascii="Times New Roman" w:eastAsia="仿宋_GB2312" w:cs="Times New Roman"/>
          <w:color w:val="auto"/>
          <w:kern w:val="2"/>
          <w:sz w:val="32"/>
          <w:szCs w:val="32"/>
        </w:rPr>
        <w:t>积极</w:t>
      </w:r>
      <w:r>
        <w:rPr>
          <w:rFonts w:ascii="Times New Roman" w:eastAsia="仿宋_GB2312" w:cs="Times New Roman"/>
          <w:color w:val="auto"/>
          <w:kern w:val="2"/>
          <w:sz w:val="32"/>
          <w:szCs w:val="32"/>
        </w:rPr>
        <w:t>推进资源共建共享。支持技能人才实训基地组织开展职工技能提升培训。</w:t>
      </w:r>
    </w:p>
    <w:p>
      <w:pPr>
        <w:pStyle w:val="2"/>
        <w:ind w:firstLine="632" w:firstLineChars="200"/>
        <w:rPr>
          <w:rFonts w:cs="Times New Roman"/>
          <w:color w:val="auto"/>
          <w:kern w:val="2"/>
          <w:sz w:val="32"/>
          <w:szCs w:val="32"/>
        </w:rPr>
      </w:pPr>
      <w:r>
        <w:rPr>
          <w:rFonts w:hint="eastAsia" w:ascii="Times New Roman" w:eastAsia="仿宋_GB2312" w:cs="Times New Roman"/>
          <w:color w:val="auto"/>
          <w:kern w:val="2"/>
          <w:sz w:val="32"/>
          <w:szCs w:val="32"/>
        </w:rPr>
        <w:t>（二）全面释放职业（技工）院校培训供给潜力。</w:t>
      </w:r>
      <w:r>
        <w:rPr>
          <w:rFonts w:ascii="Times New Roman" w:eastAsia="仿宋_GB2312" w:cs="Times New Roman"/>
          <w:color w:val="auto"/>
          <w:kern w:val="2"/>
          <w:sz w:val="32"/>
          <w:szCs w:val="32"/>
        </w:rPr>
        <w:t>持续深化职业</w:t>
      </w:r>
      <w:r>
        <w:rPr>
          <w:rFonts w:hint="eastAsia" w:ascii="Times New Roman" w:eastAsia="仿宋_GB2312" w:cs="Times New Roman"/>
          <w:color w:val="auto"/>
          <w:kern w:val="2"/>
          <w:sz w:val="32"/>
          <w:szCs w:val="32"/>
        </w:rPr>
        <w:t>（技工）</w:t>
      </w:r>
      <w:r>
        <w:rPr>
          <w:rFonts w:ascii="Times New Roman" w:eastAsia="仿宋_GB2312" w:cs="Times New Roman"/>
          <w:color w:val="auto"/>
          <w:kern w:val="2"/>
          <w:sz w:val="32"/>
          <w:szCs w:val="32"/>
        </w:rPr>
        <w:t>教育改革和职业培训供给侧结构性改革，坚持职业教育与职业培训并举，支持职业</w:t>
      </w:r>
      <w:r>
        <w:rPr>
          <w:rFonts w:hint="eastAsia" w:ascii="Times New Roman" w:eastAsia="仿宋_GB2312" w:cs="Times New Roman"/>
          <w:color w:val="auto"/>
          <w:kern w:val="2"/>
          <w:sz w:val="32"/>
          <w:szCs w:val="32"/>
        </w:rPr>
        <w:t>（技工）</w:t>
      </w:r>
      <w:r>
        <w:rPr>
          <w:rFonts w:ascii="Times New Roman" w:eastAsia="仿宋_GB2312" w:cs="Times New Roman"/>
          <w:color w:val="auto"/>
          <w:kern w:val="2"/>
          <w:sz w:val="32"/>
          <w:szCs w:val="32"/>
        </w:rPr>
        <w:t>院校大力开展补贴性职业技能培训，组织毕业生或培训实训人员考取国家职业资格证书、职业技能等级证书等。</w:t>
      </w:r>
      <w:r>
        <w:rPr>
          <w:rFonts w:ascii="Times New Roman" w:eastAsia="仿宋_GB2312" w:cs="Times New Roman"/>
          <w:color w:val="auto"/>
          <w:kern w:val="2"/>
          <w:sz w:val="32"/>
          <w:szCs w:val="32"/>
        </w:rPr>
        <w:t>技师学院、高级技工学校、普通技工学校年完成补贴性培训分别不少于2000人、1000人、500人</w:t>
      </w:r>
      <w:r>
        <w:rPr>
          <w:rFonts w:hint="eastAsia" w:hAnsi="仿宋" w:cs="宋体"/>
          <w:color w:val="auto"/>
          <w:sz w:val="32"/>
          <w:szCs w:val="32"/>
        </w:rPr>
        <w:t>（其中，企业新型学徒制分别不少于500人、300人、100人）</w:t>
      </w:r>
      <w:r>
        <w:rPr>
          <w:rFonts w:hint="eastAsia" w:ascii="Times New Roman" w:eastAsia="仿宋_GB2312" w:cs="Times New Roman"/>
          <w:color w:val="auto"/>
          <w:kern w:val="2"/>
          <w:sz w:val="32"/>
          <w:szCs w:val="32"/>
        </w:rPr>
        <w:t>。</w:t>
      </w:r>
      <w:r>
        <w:rPr>
          <w:rFonts w:hint="eastAsia" w:ascii="Times New Roman" w:eastAsia="仿宋_GB2312" w:cs="Times New Roman"/>
          <w:color w:val="auto"/>
          <w:kern w:val="2"/>
          <w:sz w:val="32"/>
          <w:szCs w:val="32"/>
        </w:rPr>
        <w:t>学校培训工作量可按一定比例折算成全日制学生培养工作量。职业（技工）院校在内部分配时，应</w:t>
      </w:r>
      <w:r>
        <w:rPr>
          <w:rFonts w:ascii="Times New Roman" w:eastAsia="仿宋_GB2312" w:cs="Times New Roman"/>
          <w:color w:val="auto"/>
          <w:kern w:val="2"/>
          <w:sz w:val="32"/>
          <w:szCs w:val="32"/>
        </w:rPr>
        <w:t>向承担职业技能培训工作的一线教师倾斜，保障其合理待遇。</w:t>
      </w:r>
    </w:p>
    <w:p>
      <w:pPr>
        <w:pStyle w:val="2"/>
        <w:ind w:firstLine="632" w:firstLineChars="200"/>
        <w:rPr>
          <w:rFonts w:ascii="黑体" w:hAnsi="黑体" w:eastAsia="黑体" w:cs="黑体"/>
          <w:color w:val="auto"/>
          <w:sz w:val="32"/>
          <w:szCs w:val="32"/>
        </w:rPr>
      </w:pPr>
      <w:r>
        <w:rPr>
          <w:rFonts w:hint="eastAsia" w:ascii="Times New Roman" w:eastAsia="仿宋_GB2312" w:cs="Times New Roman"/>
          <w:color w:val="auto"/>
          <w:kern w:val="2"/>
          <w:sz w:val="32"/>
          <w:szCs w:val="32"/>
        </w:rPr>
        <w:t>（三）鼓励社会培训机构参与职业技能培训和评价工作。强化对培训机构的管理和服务，完善评估奖惩制度，推动规范化、品牌化发展。按照国家要求，建立并推行职业技能等级认定制度，支持企业和社会培训评价组织按照有关规定开展职业技能等级认定工作。建立评价工作质量监控体系，定期开展评估检查，提高评价工作水平。</w:t>
      </w:r>
    </w:p>
    <w:p>
      <w:pPr>
        <w:pStyle w:val="7"/>
        <w:widowControl w:val="0"/>
        <w:spacing w:before="0" w:beforeAutospacing="0" w:after="0" w:afterAutospacing="0"/>
        <w:ind w:firstLine="632" w:firstLineChars="200"/>
        <w:jc w:val="both"/>
        <w:rPr>
          <w:rFonts w:ascii="Times New Roman" w:hAnsi="Times New Roman" w:eastAsia="楷体_GB2312" w:cs="Times New Roman"/>
          <w:color w:val="auto"/>
          <w:sz w:val="32"/>
          <w:szCs w:val="32"/>
        </w:rPr>
      </w:pPr>
      <w:r>
        <w:rPr>
          <w:rFonts w:hint="eastAsia" w:ascii="黑体" w:hAnsi="黑体" w:eastAsia="黑体" w:cs="黑体"/>
          <w:color w:val="auto"/>
          <w:sz w:val="32"/>
          <w:szCs w:val="32"/>
        </w:rPr>
        <w:t>五、强化</w:t>
      </w:r>
      <w:r>
        <w:rPr>
          <w:rFonts w:ascii="黑体" w:hAnsi="黑体" w:eastAsia="黑体" w:cs="黑体"/>
          <w:color w:val="auto"/>
          <w:sz w:val="32"/>
          <w:szCs w:val="32"/>
        </w:rPr>
        <w:t>项目</w:t>
      </w:r>
      <w:r>
        <w:rPr>
          <w:rFonts w:hint="eastAsia" w:ascii="黑体" w:hAnsi="黑体" w:eastAsia="黑体" w:cs="黑体"/>
          <w:color w:val="auto"/>
          <w:sz w:val="32"/>
          <w:szCs w:val="32"/>
        </w:rPr>
        <w:t>引领带动</w:t>
      </w:r>
    </w:p>
    <w:p>
      <w:pPr>
        <w:ind w:firstLine="632" w:firstLineChars="200"/>
        <w:rPr>
          <w:color w:val="auto"/>
        </w:rPr>
      </w:pPr>
      <w:r>
        <w:rPr>
          <w:rFonts w:hint="eastAsia"/>
          <w:color w:val="auto"/>
        </w:rPr>
        <w:t>（一）统筹推进</w:t>
      </w:r>
      <w:r>
        <w:rPr>
          <w:color w:val="auto"/>
        </w:rPr>
        <w:t>项目建设。持续实施全民技能振兴工程项目，推进公共职业技能培训基础平台建设，支持申报建设一批国家级、省级和市级公共实训基地、产教融合基地、高技能人才培养示范基地、重点产业急需紧缺技能人才培养基地、“一体化”教学实训综合示范基地、技能大师工作室、世界技能大赛集训基地等</w:t>
      </w:r>
      <w:r>
        <w:rPr>
          <w:rFonts w:hint="eastAsia"/>
          <w:color w:val="auto"/>
        </w:rPr>
        <w:t>，</w:t>
      </w:r>
      <w:r>
        <w:rPr>
          <w:color w:val="auto"/>
          <w:szCs w:val="32"/>
        </w:rPr>
        <w:t>强化项目支撑，支持企业、院校和培训机构实训设施设备升级改造</w:t>
      </w:r>
      <w:r>
        <w:rPr>
          <w:rFonts w:hint="eastAsia"/>
          <w:color w:val="auto"/>
          <w:szCs w:val="32"/>
        </w:rPr>
        <w:t>和参与技能人才培训</w:t>
      </w:r>
      <w:r>
        <w:rPr>
          <w:color w:val="auto"/>
          <w:szCs w:val="32"/>
        </w:rPr>
        <w:t>。</w:t>
      </w:r>
    </w:p>
    <w:p>
      <w:pPr>
        <w:pStyle w:val="2"/>
        <w:ind w:firstLine="632" w:firstLineChars="200"/>
        <w:rPr>
          <w:color w:val="auto"/>
        </w:rPr>
      </w:pPr>
      <w:r>
        <w:rPr>
          <w:rFonts w:hint="eastAsia" w:cs="Times New Roman"/>
          <w:color w:val="auto"/>
          <w:kern w:val="2"/>
          <w:sz w:val="32"/>
          <w:szCs w:val="32"/>
        </w:rPr>
        <w:t>（三）</w:t>
      </w:r>
      <w:r>
        <w:rPr>
          <w:rFonts w:cs="Times New Roman"/>
          <w:color w:val="auto"/>
          <w:kern w:val="2"/>
          <w:sz w:val="32"/>
          <w:szCs w:val="32"/>
        </w:rPr>
        <w:t>大力开展职业技能竞赛。坚持以世赛为引领、以国赛为龙头，统筹做好全市职业技能竞赛和百万职工技能比武活动。继续以赛会制方式举办第七届郑州市职业技能竞赛，力争在参赛项目和规模上再创新高，会同行业部门举办全市行业职业技能竞赛，积极申办承办国家级和省级职业技能竞赛。做好第一届全国职业技能大赛优秀选手和教练的表彰奖励工作。加强各级世赛基地、世赛预备班（雏鹰班、精品班）的建设。引导企业职工、院校师生等广泛开展岗位练兵、技能比武、技能竞赛等活动。</w:t>
      </w:r>
    </w:p>
    <w:p>
      <w:pPr>
        <w:ind w:firstLine="632" w:firstLineChars="200"/>
        <w:rPr>
          <w:rFonts w:ascii="仿宋" w:eastAsia="仿宋"/>
          <w:color w:val="auto"/>
          <w:szCs w:val="32"/>
        </w:rPr>
      </w:pPr>
      <w:r>
        <w:rPr>
          <w:rFonts w:hint="eastAsia" w:ascii="仿宋" w:eastAsia="仿宋"/>
          <w:color w:val="auto"/>
          <w:szCs w:val="32"/>
        </w:rPr>
        <w:t>（三）加快技能人才评价认定体系建设。按照《人力资源社会保障部关于改革完善技能人才评价制度的意见》(人社部发﹝2019﹞90号)有关要求，建立科学的技能人才评价制度，加强职业技能培训，提高劳动者素质，促进劳动者就业创业，激励引导技能人才成长成才。加大对技能人才评价制度改革的宣传力度，切实增强主动服务企业意识，针对规模以上企业高效推进企业职业技能等级认定备案工作，择优选定郑州市主导产业密切相关、从业人员数量多的职业工种，高效推进企业等级认定工作，提高技能等级认</w:t>
      </w:r>
      <w:r>
        <w:rPr>
          <w:rFonts w:hint="eastAsia" w:ascii="仿宋" w:eastAsia="仿宋"/>
          <w:color w:val="auto"/>
          <w:szCs w:val="32"/>
        </w:rPr>
        <w:t>定质量和社会认知度，2021年企业技能等级认定单位总数达到60家以上，指导帮助我市综合实力强的技工院校和培训机构申报第三方社会评价机构。</w:t>
      </w:r>
    </w:p>
    <w:p>
      <w:pPr>
        <w:ind w:firstLine="632" w:firstLineChars="200"/>
        <w:rPr>
          <w:rFonts w:ascii="仿宋" w:eastAsia="仿宋"/>
          <w:color w:val="auto"/>
          <w:szCs w:val="32"/>
        </w:rPr>
      </w:pPr>
      <w:r>
        <w:rPr>
          <w:rFonts w:hint="eastAsia" w:ascii="仿宋" w:eastAsia="仿宋"/>
          <w:color w:val="auto"/>
          <w:szCs w:val="32"/>
        </w:rPr>
        <w:t>（四）持续推进“互联网+职业技能培训”模式。加强郑州线上职业技能培训服务平台项目建设管理，</w:t>
      </w:r>
      <w:r>
        <w:rPr>
          <w:rFonts w:hint="eastAsia" w:ascii="仿宋" w:eastAsia="仿宋"/>
          <w:color w:val="auto"/>
          <w:szCs w:val="32"/>
        </w:rPr>
        <w:t>高效推进所有参与补贴性培训的线上培训平台和线下培训机构全部纳入“郑州市职业技能培训管理服务平台”，</w:t>
      </w:r>
      <w:r>
        <w:rPr>
          <w:rFonts w:hint="eastAsia" w:ascii="仿宋" w:eastAsia="仿宋"/>
          <w:color w:val="auto"/>
          <w:szCs w:val="32"/>
        </w:rPr>
        <w:t>按照线上培训资料</w:t>
      </w:r>
      <w:r>
        <w:rPr>
          <w:rFonts w:hint="eastAsia" w:ascii="仿宋" w:eastAsia="仿宋"/>
          <w:color w:val="auto"/>
          <w:szCs w:val="32"/>
        </w:rPr>
        <w:t>申报规范版本</w:t>
      </w:r>
      <w:r>
        <w:rPr>
          <w:rFonts w:hint="eastAsia" w:ascii="仿宋" w:eastAsia="仿宋"/>
          <w:color w:val="auto"/>
          <w:szCs w:val="32"/>
        </w:rPr>
        <w:t>认真审核把关，严格培训质量管控，保证培训效果和资金使用安全。</w:t>
      </w:r>
    </w:p>
    <w:p>
      <w:pPr>
        <w:pStyle w:val="2"/>
        <w:ind w:firstLine="632" w:firstLineChars="200"/>
        <w:rPr>
          <w:rFonts w:cs="Times New Roman"/>
          <w:color w:val="auto"/>
          <w:kern w:val="2"/>
          <w:sz w:val="32"/>
          <w:szCs w:val="32"/>
        </w:rPr>
      </w:pPr>
      <w:r>
        <w:rPr>
          <w:rFonts w:hint="eastAsia" w:ascii="黑体" w:hAnsi="黑体" w:eastAsia="黑体" w:cs="黑体"/>
          <w:color w:val="auto"/>
          <w:sz w:val="32"/>
          <w:szCs w:val="32"/>
        </w:rPr>
        <w:t>六、狠抓全过程监管，推进职业培训提质增效</w:t>
      </w:r>
    </w:p>
    <w:p>
      <w:pPr>
        <w:widowControl/>
        <w:shd w:val="clear" w:color="auto" w:fill="FFFFFF"/>
        <w:ind w:firstLine="480"/>
        <w:jc w:val="left"/>
        <w:rPr>
          <w:color w:val="auto"/>
          <w:szCs w:val="32"/>
        </w:rPr>
      </w:pPr>
      <w:r>
        <w:rPr>
          <w:rFonts w:hint="eastAsia"/>
          <w:color w:val="auto"/>
          <w:szCs w:val="32"/>
        </w:rPr>
        <w:t>（一）严格培训全过程管理。</w:t>
      </w:r>
      <w:r>
        <w:rPr>
          <w:rFonts w:hint="eastAsia" w:ascii="仿宋" w:hAnsi="仿宋" w:eastAsia="仿宋" w:cs="宋体"/>
          <w:color w:val="auto"/>
          <w:kern w:val="0"/>
          <w:szCs w:val="32"/>
        </w:rPr>
        <w:t>全面运行河南省职业培训信息管理服务系统，实现“补贴性培训进系统、系统之外零补贴”。严格落实年度补贴性培训申请表</w:t>
      </w:r>
      <w:r>
        <w:rPr>
          <w:rFonts w:hint="eastAsia" w:ascii="仿宋" w:hAnsi="仿宋" w:eastAsia="仿宋" w:cs="宋体"/>
          <w:color w:val="auto"/>
          <w:kern w:val="0"/>
          <w:szCs w:val="32"/>
        </w:rPr>
        <w:t>（见附件2）</w:t>
      </w:r>
      <w:r>
        <w:rPr>
          <w:rFonts w:hint="eastAsia" w:ascii="仿宋" w:hAnsi="仿宋" w:eastAsia="仿宋" w:cs="宋体"/>
          <w:color w:val="auto"/>
          <w:kern w:val="0"/>
          <w:szCs w:val="32"/>
        </w:rPr>
        <w:t>规定</w:t>
      </w:r>
      <w:bookmarkStart w:id="0" w:name="_GoBack"/>
      <w:bookmarkEnd w:id="0"/>
      <w:r>
        <w:rPr>
          <w:rFonts w:hint="eastAsia" w:ascii="仿宋" w:hAnsi="仿宋" w:eastAsia="仿宋" w:cs="宋体"/>
          <w:color w:val="auto"/>
          <w:kern w:val="0"/>
          <w:szCs w:val="32"/>
        </w:rPr>
        <w:t>流程开展培训，企业职工须参加与本人岗位相同或相近的职业（工种）培训，</w:t>
      </w:r>
      <w:r>
        <w:rPr>
          <w:rFonts w:hint="eastAsia" w:ascii="仿宋" w:hAnsi="仿宋" w:eastAsia="仿宋" w:cs="宋体"/>
          <w:color w:val="auto"/>
          <w:kern w:val="0"/>
          <w:szCs w:val="32"/>
        </w:rPr>
        <w:t>转岗职工参加培训的职业（工种）与原岗位职业（工种）不隶属于同一职业分类</w:t>
      </w:r>
      <w:r>
        <w:rPr>
          <w:rFonts w:hint="eastAsia" w:ascii="仿宋" w:hAnsi="仿宋" w:eastAsia="仿宋" w:cs="宋体"/>
          <w:color w:val="auto"/>
          <w:kern w:val="0"/>
          <w:szCs w:val="32"/>
          <w:lang w:eastAsia="zh-CN"/>
        </w:rPr>
        <w:t>；</w:t>
      </w:r>
      <w:r>
        <w:rPr>
          <w:rFonts w:hint="eastAsia" w:ascii="仿宋" w:hAnsi="仿宋" w:eastAsia="仿宋" w:cs="宋体"/>
          <w:color w:val="auto"/>
          <w:kern w:val="0"/>
          <w:szCs w:val="32"/>
        </w:rPr>
        <w:t>职业院校或培训机构不得对职业院校在校生开展在读专业的补贴性技能培训；理论教学须全程录像，实操培训每学时连续录像不低于15分钟；无法取得职业资格证书、职业技能等级证书、特种作业操作证书、专项职业能力证书，只能领取培训合格证书的，培训不少于40个学时（有明确学时规定的除外）；全面压减无法取得职业资格证书、职业技能等级证书、特种作业操作证书类培训开班规模，加大技能人才尤其是高技能人才培训占比。</w:t>
      </w:r>
    </w:p>
    <w:p>
      <w:pPr>
        <w:ind w:firstLine="632" w:firstLineChars="200"/>
        <w:rPr>
          <w:rFonts w:ascii="仿宋" w:eastAsia="仿宋"/>
          <w:color w:val="auto"/>
          <w:szCs w:val="32"/>
        </w:rPr>
      </w:pPr>
      <w:r>
        <w:rPr>
          <w:rFonts w:hint="eastAsia"/>
          <w:color w:val="auto"/>
          <w:szCs w:val="32"/>
        </w:rPr>
        <w:t>（二）</w:t>
      </w:r>
      <w:r>
        <w:rPr>
          <w:rFonts w:hint="eastAsia" w:ascii="仿宋" w:eastAsia="仿宋"/>
          <w:color w:val="auto"/>
          <w:szCs w:val="32"/>
        </w:rPr>
        <w:t>强化质量管控。</w:t>
      </w:r>
      <w:r>
        <w:rPr>
          <w:rFonts w:hint="eastAsia" w:ascii="仿宋" w:hAnsi="仿宋" w:eastAsia="仿宋"/>
          <w:color w:val="auto"/>
          <w:szCs w:val="32"/>
        </w:rPr>
        <w:t>坚持就业导向、质量导向，引导培训资源向市场急需紧缺、企业生产需要、安全生产必需、新职业新业态聚集。加大先进制造业、战略性新兴产业、现代服务业以及人工智能、云计算、大数据等领域职业技能培训。提高企业职工、困难企业转岗职工、下岗失业人员、农民工、离校未就业大学生等技能培训比例。</w:t>
      </w:r>
      <w:r>
        <w:rPr>
          <w:rFonts w:hint="eastAsia" w:ascii="仿宋" w:hAnsi="仿宋" w:eastAsia="仿宋" w:cs="宋体"/>
          <w:color w:val="auto"/>
          <w:kern w:val="0"/>
          <w:szCs w:val="32"/>
        </w:rPr>
        <w:t>紧盯“转移就业”开展农村劳动力培训，职业技能提升行动专账资金不得培训无就业能力、无就业意愿、自身难以实现转移就业的人员。</w:t>
      </w:r>
      <w:r>
        <w:rPr>
          <w:rFonts w:hint="eastAsia" w:ascii="仿宋" w:eastAsia="仿宋"/>
          <w:color w:val="auto"/>
          <w:szCs w:val="32"/>
        </w:rPr>
        <w:t>各市直部门、行业主管单位、各区县（市）人社局要结合工作分工切实履行申请材料审核职责，有效甄别资金发放对象及其申报材料的真实性，保障资金安全效益。</w:t>
      </w:r>
    </w:p>
    <w:p>
      <w:pPr>
        <w:pStyle w:val="2"/>
        <w:ind w:firstLine="632" w:firstLineChars="200"/>
        <w:rPr>
          <w:rFonts w:cs="Times New Roman"/>
          <w:color w:val="auto"/>
          <w:kern w:val="2"/>
          <w:sz w:val="32"/>
          <w:szCs w:val="32"/>
        </w:rPr>
      </w:pPr>
      <w:r>
        <w:rPr>
          <w:rFonts w:hint="eastAsia" w:cs="Times New Roman"/>
          <w:color w:val="auto"/>
          <w:kern w:val="2"/>
          <w:sz w:val="32"/>
          <w:szCs w:val="32"/>
        </w:rPr>
        <w:t>1.严格师资管理。民办培训机构和企业培训中心专职师资实行报备制度；纳入目录管理的企业培训中心，参照民办职业培训机构相关条件，必须具备与培训相一致的师资（部分人员须持有教师资格证）、场地、设施等基本条件；职业技能培训师生比、工位与培训学员比保持在1:20以内，每班人数不超过80人，每课时不低于40分钟，实操培训不少于总课时的65%；企业新型学徒制单个职业（工种）培训数量不超过培训机构该职业（工种）专职教师总数的20倍。</w:t>
      </w:r>
    </w:p>
    <w:p>
      <w:pPr>
        <w:pStyle w:val="2"/>
        <w:ind w:firstLine="632" w:firstLineChars="200"/>
        <w:rPr>
          <w:rFonts w:cs="Times New Roman"/>
          <w:color w:val="auto"/>
          <w:kern w:val="2"/>
          <w:sz w:val="32"/>
          <w:szCs w:val="32"/>
        </w:rPr>
      </w:pPr>
      <w:r>
        <w:rPr>
          <w:rFonts w:hint="eastAsia" w:cs="Times New Roman"/>
          <w:color w:val="auto"/>
          <w:kern w:val="2"/>
          <w:sz w:val="32"/>
          <w:szCs w:val="32"/>
        </w:rPr>
        <w:t>2.规范“互联网+职业技能培训”管理。督促纳入年度目录清单管理的互联网平台加大实操训练课程和高技能人才培训课程资源开发占比。全面压缩纯线上培训职业（工种），</w:t>
      </w:r>
      <w:r>
        <w:rPr>
          <w:rFonts w:hint="eastAsia" w:cs="Times New Roman"/>
          <w:color w:val="auto"/>
          <w:kern w:val="2"/>
          <w:sz w:val="32"/>
          <w:szCs w:val="32"/>
        </w:rPr>
        <w:t>控制培训总量，参加郑州市纯线上补贴性培训的互联网平台须落实报备审核制度，审核通过后方可开班、培训和申领补贴。</w:t>
      </w:r>
      <w:r>
        <w:rPr>
          <w:rFonts w:hint="eastAsia" w:cs="Times New Roman"/>
          <w:color w:val="auto"/>
          <w:kern w:val="2"/>
          <w:sz w:val="32"/>
          <w:szCs w:val="32"/>
        </w:rPr>
        <w:t>倡导推行线上+线下培训融合发展，部分职业（工种）须开展不少于8个学时的线下实训（见附件3），并统一于4月、8月、12月进行线下考核（评价）；上一个项目未考核或考核后距下一次培训开班不足一个月的，相关人员不得参加下一次补贴性培训；对有快进播放、多窗口学习、连续5分钟内无弹窗管控、无法进行人脸活体比对、专业课程学习不按内容先后顺序设置管理、每课时无随机保留影像照片的，视同培训无效，不接受线下考核申请；纳入省年度目录清单管理的线上培训平台新增培训视频资料须报省人力资源社会保障厅职业技能提升行动领导小组办公室审核同意。</w:t>
      </w:r>
    </w:p>
    <w:p>
      <w:pPr>
        <w:pStyle w:val="2"/>
        <w:ind w:firstLine="632" w:firstLineChars="200"/>
        <w:rPr>
          <w:color w:val="auto"/>
          <w:szCs w:val="32"/>
        </w:rPr>
      </w:pPr>
      <w:r>
        <w:rPr>
          <w:rFonts w:hint="eastAsia" w:cs="Times New Roman"/>
          <w:color w:val="auto"/>
          <w:kern w:val="2"/>
          <w:sz w:val="32"/>
          <w:szCs w:val="32"/>
        </w:rPr>
        <w:t>3.强化培训后鉴定评价考核。政府补贴性培训一律实行线下考核；纯线上培训只接受企业、劳动者个人申请考核；对能够取得职业资格证书、职业技能等级证书、专项职业能力证书的，必须组织培训学员参加鉴定评价或考核，对直接组织培训合格证书考核的不予认可；要加强技能评价机构基础能力建设，逐步实现技能评价理论上机考核；落实培训后同步进行满意度调查，低于85%的停止培训开班，给予为期一个月的整改期；培训合格证书类考核，理论、实譟由县（区）级以上人力资源社会保障局负责统一印制出题并组织考核。</w:t>
      </w:r>
    </w:p>
    <w:p>
      <w:pPr>
        <w:ind w:firstLine="632" w:firstLineChars="200"/>
        <w:rPr>
          <w:rFonts w:eastAsia="黑体"/>
          <w:color w:val="auto"/>
        </w:rPr>
      </w:pPr>
      <w:r>
        <w:rPr>
          <w:rFonts w:hint="eastAsia" w:eastAsia="黑体"/>
          <w:color w:val="auto"/>
        </w:rPr>
        <w:t>七</w:t>
      </w:r>
      <w:r>
        <w:rPr>
          <w:rFonts w:eastAsia="黑体"/>
          <w:color w:val="auto"/>
        </w:rPr>
        <w:t>、</w:t>
      </w:r>
      <w:r>
        <w:rPr>
          <w:rFonts w:hint="eastAsia" w:eastAsia="黑体"/>
          <w:color w:val="auto"/>
        </w:rPr>
        <w:t>保障措施</w:t>
      </w:r>
    </w:p>
    <w:p>
      <w:pPr>
        <w:ind w:firstLine="632" w:firstLineChars="200"/>
        <w:rPr>
          <w:rFonts w:ascii="仿宋" w:eastAsia="仿宋"/>
          <w:color w:val="auto"/>
          <w:szCs w:val="32"/>
        </w:rPr>
      </w:pPr>
      <w:r>
        <w:rPr>
          <w:rFonts w:hint="eastAsia" w:ascii="仿宋" w:eastAsia="仿宋"/>
          <w:b/>
          <w:bCs/>
          <w:color w:val="auto"/>
          <w:szCs w:val="32"/>
        </w:rPr>
        <w:t>（一）强化组织领导。</w:t>
      </w:r>
      <w:r>
        <w:rPr>
          <w:rFonts w:hint="eastAsia" w:ascii="仿宋" w:eastAsia="仿宋"/>
          <w:color w:val="auto"/>
          <w:szCs w:val="32"/>
        </w:rPr>
        <w:t>郑州市职业技能提升行动在市全民技能振兴工程领导小组的统一领导下，坚持人社牵头、部门参与、属地落实，“上下联动、逐级负责、齐抓共管”的工作格局。各有关单位要切实加强统筹协调，持续充实加强专班力量、制定年度工作计划方案、认真分解工作任务、建立工作报告制度、指导督促工作推进、层层抓好任务落实。有关市直部门、行业主管单位和区（县、市）要把职业技能提升行动作为重要民生工程，结合实际，制定相关支持政策，严格落实技能提升培训任务。财政部门要加强职业技能培训资金的监管，做到专款专用，分账核算，确保资金及时足额拨付到位。</w:t>
      </w:r>
    </w:p>
    <w:p>
      <w:pPr>
        <w:spacing w:line="580" w:lineRule="exact"/>
        <w:ind w:firstLine="640"/>
        <w:jc w:val="left"/>
        <w:rPr>
          <w:rFonts w:ascii="仿宋_GB2312" w:hAnsi="仿宋_GB2312" w:cs="仿宋_GB2312"/>
          <w:color w:val="auto"/>
          <w:szCs w:val="32"/>
          <w:shd w:val="clear" w:color="auto" w:fill="FFFFFF"/>
        </w:rPr>
      </w:pPr>
      <w:r>
        <w:rPr>
          <w:rFonts w:hint="eastAsia" w:ascii="仿宋" w:eastAsia="仿宋"/>
          <w:b/>
          <w:bCs/>
          <w:color w:val="auto"/>
          <w:szCs w:val="32"/>
        </w:rPr>
        <w:t>（二）健全工作机制。</w:t>
      </w:r>
      <w:r>
        <w:rPr>
          <w:rFonts w:hint="eastAsia" w:ascii="仿宋_GB2312" w:hAnsi="仿宋_GB2312" w:cs="仿宋_GB2312"/>
          <w:color w:val="auto"/>
          <w:szCs w:val="32"/>
          <w:shd w:val="clear" w:color="auto" w:fill="FFFFFF"/>
        </w:rPr>
        <w:t>市人社局会同市财政局，持续坚持每周“三四五”常态化工作机制，打通资金拨付堵点。本着“成熟一批、申报一批”的原则，市人社局坚持每周三收交、审核各区（县、市）申报资料，周四汇总、盖章、行文送交市财政局，周五财政局审核并在一周内拨款至企业，确保资金快速直达企业，提升资金发放效率，维护培训机构切身利益。</w:t>
      </w:r>
      <w:r>
        <w:rPr>
          <w:rFonts w:hint="eastAsia" w:ascii="仿宋" w:eastAsia="仿宋"/>
          <w:color w:val="auto"/>
          <w:szCs w:val="32"/>
        </w:rPr>
        <w:t>建立高效快捷的资金申领、退还、容错、纠错机制，各区（县、市）人社局坚持每周、每月定期上报错误资金申领退还情况报告。</w:t>
      </w:r>
    </w:p>
    <w:p>
      <w:pPr>
        <w:widowControl/>
        <w:shd w:val="clear" w:color="auto" w:fill="FFFFFF"/>
        <w:ind w:firstLine="632" w:firstLineChars="200"/>
        <w:jc w:val="left"/>
        <w:rPr>
          <w:rFonts w:ascii="仿宋" w:eastAsia="仿宋"/>
          <w:b/>
          <w:bCs/>
          <w:color w:val="auto"/>
          <w:szCs w:val="32"/>
        </w:rPr>
      </w:pPr>
      <w:r>
        <w:rPr>
          <w:rFonts w:hint="eastAsia" w:ascii="仿宋" w:eastAsia="仿宋"/>
          <w:b/>
          <w:bCs/>
          <w:color w:val="auto"/>
          <w:szCs w:val="32"/>
        </w:rPr>
        <w:t>（三）加强跟踪问效。</w:t>
      </w:r>
      <w:r>
        <w:rPr>
          <w:rFonts w:hint="eastAsia"/>
          <w:color w:val="auto"/>
        </w:rPr>
        <w:t>加强职业（技工）院校、民办培训机构和企业培训中心质量建设，实现“硬件”与“软件”建设同步；结合培训者自身条件，找准更加适合就业的岗位，量身定制培训“菜单”，加大订单式、定岗式培训比重；搭建供需平台，优胜劣汰</w:t>
      </w:r>
      <w:r>
        <w:rPr>
          <w:color w:val="auto"/>
        </w:rPr>
        <w:t>，</w:t>
      </w:r>
      <w:r>
        <w:rPr>
          <w:rFonts w:hint="eastAsia"/>
          <w:color w:val="auto"/>
        </w:rPr>
        <w:t>真正把优质培训机构纳入年度目录清单，</w:t>
      </w:r>
      <w:r>
        <w:rPr>
          <w:rFonts w:hint="eastAsia"/>
          <w:color w:val="auto"/>
        </w:rPr>
        <w:t>工作开展不积极、培训效果不明显的培训机构和专业实行动态退出机制；</w:t>
      </w:r>
      <w:r>
        <w:rPr>
          <w:rFonts w:hint="eastAsia"/>
          <w:color w:val="auto"/>
        </w:rPr>
        <w:t>严格落实开班申请、过程检查、结业考核，建立培训管理服务平台监管、满意度调查、就业跟踪问卷等效果评价机制，切实</w:t>
      </w:r>
      <w:r>
        <w:rPr>
          <w:color w:val="auto"/>
        </w:rPr>
        <w:t>提升培训质量。</w:t>
      </w:r>
    </w:p>
    <w:p>
      <w:pPr>
        <w:ind w:firstLine="632" w:firstLineChars="200"/>
        <w:rPr>
          <w:color w:val="auto"/>
        </w:rPr>
      </w:pPr>
      <w:r>
        <w:rPr>
          <w:rFonts w:hint="eastAsia" w:ascii="仿宋" w:eastAsia="仿宋"/>
          <w:b/>
          <w:bCs/>
          <w:color w:val="auto"/>
          <w:szCs w:val="32"/>
        </w:rPr>
        <w:t>（四）加强宣传引导。</w:t>
      </w:r>
      <w:r>
        <w:rPr>
          <w:rFonts w:hint="eastAsia"/>
          <w:color w:val="auto"/>
        </w:rPr>
        <w:t>积极</w:t>
      </w:r>
      <w:r>
        <w:rPr>
          <w:color w:val="auto"/>
        </w:rPr>
        <w:t>做好政策解读和舆论宣传</w:t>
      </w:r>
      <w:r>
        <w:rPr>
          <w:rFonts w:hint="eastAsia"/>
          <w:color w:val="auto"/>
        </w:rPr>
        <w:t>，</w:t>
      </w:r>
      <w:r>
        <w:rPr>
          <w:color w:val="auto"/>
        </w:rPr>
        <w:t>营造劳动光荣、技能宝贵、创造伟大的时代风尚</w:t>
      </w:r>
      <w:r>
        <w:rPr>
          <w:rFonts w:hint="eastAsia"/>
          <w:color w:val="auto"/>
        </w:rPr>
        <w:t>，</w:t>
      </w:r>
      <w:r>
        <w:rPr>
          <w:color w:val="auto"/>
        </w:rPr>
        <w:t>推行技能导向激励机制，落实提高技术工人待遇的政策措施，加大激励表扬力度。各行业主管部门、各区</w:t>
      </w:r>
      <w:r>
        <w:rPr>
          <w:rFonts w:hint="eastAsia"/>
          <w:color w:val="auto"/>
        </w:rPr>
        <w:t>（县、市）</w:t>
      </w:r>
      <w:r>
        <w:rPr>
          <w:color w:val="auto"/>
        </w:rPr>
        <w:t>要</w:t>
      </w:r>
      <w:r>
        <w:rPr>
          <w:rFonts w:hint="eastAsia"/>
          <w:color w:val="auto"/>
        </w:rPr>
        <w:t>加大</w:t>
      </w:r>
      <w:r>
        <w:rPr>
          <w:color w:val="auto"/>
        </w:rPr>
        <w:t>对职业技能提升行动</w:t>
      </w:r>
      <w:r>
        <w:rPr>
          <w:rFonts w:hint="eastAsia"/>
          <w:color w:val="auto"/>
        </w:rPr>
        <w:t>在各</w:t>
      </w:r>
      <w:r>
        <w:rPr>
          <w:color w:val="auto"/>
        </w:rPr>
        <w:t>区</w:t>
      </w:r>
      <w:r>
        <w:rPr>
          <w:rFonts w:hint="eastAsia"/>
          <w:color w:val="auto"/>
        </w:rPr>
        <w:t>（县、市）</w:t>
      </w:r>
      <w:r>
        <w:rPr>
          <w:color w:val="auto"/>
        </w:rPr>
        <w:t>官网</w:t>
      </w:r>
      <w:r>
        <w:rPr>
          <w:rFonts w:hint="eastAsia"/>
          <w:color w:val="auto"/>
        </w:rPr>
        <w:t>、报纸、微信公众号等渠道的宣传力度，用</w:t>
      </w:r>
      <w:r>
        <w:rPr>
          <w:color w:val="auto"/>
        </w:rPr>
        <w:t>有效宣传</w:t>
      </w:r>
      <w:r>
        <w:rPr>
          <w:rFonts w:hint="eastAsia"/>
          <w:color w:val="auto"/>
        </w:rPr>
        <w:t>精准</w:t>
      </w:r>
      <w:r>
        <w:rPr>
          <w:color w:val="auto"/>
        </w:rPr>
        <w:t>引导</w:t>
      </w:r>
      <w:r>
        <w:rPr>
          <w:rFonts w:hint="eastAsia"/>
          <w:color w:val="auto"/>
        </w:rPr>
        <w:t>企业</w:t>
      </w:r>
      <w:r>
        <w:rPr>
          <w:color w:val="auto"/>
        </w:rPr>
        <w:t>职工、</w:t>
      </w:r>
      <w:r>
        <w:rPr>
          <w:rFonts w:hint="eastAsia"/>
          <w:color w:val="auto"/>
        </w:rPr>
        <w:t>重点</w:t>
      </w:r>
      <w:r>
        <w:rPr>
          <w:color w:val="auto"/>
        </w:rPr>
        <w:t>就业群体</w:t>
      </w:r>
      <w:r>
        <w:rPr>
          <w:rFonts w:hint="eastAsia"/>
          <w:color w:val="auto"/>
        </w:rPr>
        <w:t>和贫困劳动力</w:t>
      </w:r>
      <w:r>
        <w:rPr>
          <w:color w:val="auto"/>
        </w:rPr>
        <w:t>参与职业</w:t>
      </w:r>
      <w:r>
        <w:rPr>
          <w:rFonts w:hint="eastAsia"/>
          <w:color w:val="auto"/>
        </w:rPr>
        <w:t>技能</w:t>
      </w:r>
      <w:r>
        <w:rPr>
          <w:color w:val="auto"/>
        </w:rPr>
        <w:t>提升，高质量</w:t>
      </w:r>
      <w:r>
        <w:rPr>
          <w:rFonts w:hint="eastAsia"/>
          <w:color w:val="auto"/>
        </w:rPr>
        <w:t>就业</w:t>
      </w:r>
      <w:r>
        <w:rPr>
          <w:color w:val="auto"/>
        </w:rPr>
        <w:t>安置带动宣传</w:t>
      </w:r>
      <w:r>
        <w:rPr>
          <w:rFonts w:hint="eastAsia"/>
          <w:color w:val="auto"/>
        </w:rPr>
        <w:t>效果</w:t>
      </w:r>
      <w:r>
        <w:rPr>
          <w:color w:val="auto"/>
        </w:rPr>
        <w:t>。</w:t>
      </w:r>
      <w:r>
        <w:rPr>
          <w:rFonts w:hint="eastAsia"/>
          <w:color w:val="auto"/>
        </w:rPr>
        <w:t>着眼服务实体经济，紧密结合企业、产业需求，推进精准培训，</w:t>
      </w:r>
      <w:r>
        <w:rPr>
          <w:rFonts w:hint="eastAsia"/>
          <w:color w:val="auto"/>
        </w:rPr>
        <w:t>实现职业技能培训质量与规模双提升，</w:t>
      </w:r>
      <w:r>
        <w:rPr>
          <w:rFonts w:hint="eastAsia"/>
          <w:color w:val="auto"/>
        </w:rPr>
        <w:t>全面</w:t>
      </w:r>
      <w:r>
        <w:rPr>
          <w:color w:val="auto"/>
        </w:rPr>
        <w:t>激发职业技能培训</w:t>
      </w:r>
      <w:r>
        <w:rPr>
          <w:rFonts w:hint="eastAsia"/>
          <w:color w:val="auto"/>
        </w:rPr>
        <w:t>新</w:t>
      </w:r>
      <w:r>
        <w:rPr>
          <w:color w:val="auto"/>
        </w:rPr>
        <w:t>活力。</w:t>
      </w:r>
    </w:p>
    <w:p>
      <w:pPr>
        <w:ind w:firstLine="632" w:firstLineChars="200"/>
        <w:rPr>
          <w:color w:val="auto"/>
        </w:rPr>
      </w:pPr>
    </w:p>
    <w:p>
      <w:pPr>
        <w:ind w:firstLine="632" w:firstLineChars="200"/>
        <w:rPr>
          <w:color w:val="auto"/>
        </w:rPr>
      </w:pPr>
      <w:r>
        <w:rPr>
          <w:color w:val="auto"/>
        </w:rPr>
        <w:t>附件：</w:t>
      </w:r>
      <w:r>
        <w:rPr>
          <w:rFonts w:hint="eastAsia"/>
          <w:color w:val="auto"/>
        </w:rPr>
        <w:t>1.</w:t>
      </w:r>
      <w:r>
        <w:rPr>
          <w:color w:val="auto"/>
        </w:rPr>
        <w:t>202</w:t>
      </w:r>
      <w:r>
        <w:rPr>
          <w:rFonts w:hint="eastAsia"/>
          <w:color w:val="auto"/>
        </w:rPr>
        <w:t>1</w:t>
      </w:r>
      <w:r>
        <w:rPr>
          <w:color w:val="auto"/>
        </w:rPr>
        <w:t>年度郑州市补贴性职业技能提升培训目标任务</w:t>
      </w:r>
    </w:p>
    <w:p>
      <w:pPr>
        <w:ind w:firstLine="1580" w:firstLineChars="500"/>
        <w:rPr>
          <w:color w:val="auto"/>
        </w:rPr>
      </w:pPr>
      <w:r>
        <w:rPr>
          <w:rFonts w:hint="eastAsia"/>
          <w:color w:val="auto"/>
        </w:rPr>
        <w:t>2.年度补贴性职业技能提升培训申请表</w:t>
      </w:r>
    </w:p>
    <w:p>
      <w:pPr>
        <w:ind w:firstLine="1580" w:firstLineChars="500"/>
        <w:rPr>
          <w:color w:val="auto"/>
        </w:rPr>
      </w:pPr>
      <w:r>
        <w:rPr>
          <w:rFonts w:hint="eastAsia"/>
          <w:color w:val="auto"/>
        </w:rPr>
        <w:t xml:space="preserve">3.年度“互联网+职业技能培训”培训职业（工种）    </w:t>
      </w:r>
    </w:p>
    <w:p>
      <w:pPr>
        <w:jc w:val="left"/>
        <w:rPr>
          <w:rFonts w:eastAsia="黑体"/>
          <w:bCs/>
          <w:color w:val="auto"/>
          <w:szCs w:val="32"/>
        </w:rPr>
        <w:sectPr>
          <w:headerReference r:id="rId3" w:type="default"/>
          <w:footerReference r:id="rId4" w:type="default"/>
          <w:pgSz w:w="11906" w:h="16838"/>
          <w:pgMar w:top="2098" w:right="1474" w:bottom="1984" w:left="1588" w:header="851" w:footer="1587" w:gutter="0"/>
          <w:cols w:space="0" w:num="1"/>
          <w:rtlGutter w:val="1"/>
          <w:docGrid w:type="linesAndChars" w:linePitch="579" w:charSpace="-849"/>
        </w:sectPr>
      </w:pPr>
    </w:p>
    <w:p>
      <w:pPr>
        <w:pStyle w:val="2"/>
        <w:rPr>
          <w:rFonts w:ascii="Times New Roman" w:eastAsia="黑体" w:cs="Times New Roman"/>
          <w:color w:val="auto"/>
          <w:sz w:val="32"/>
          <w:szCs w:val="32"/>
        </w:rPr>
      </w:pPr>
      <w:r>
        <w:rPr>
          <w:rFonts w:hint="eastAsia" w:ascii="黑体" w:hAnsi="黑体" w:eastAsia="黑体" w:cs="黑体"/>
          <w:color w:val="auto"/>
          <w:sz w:val="32"/>
          <w:szCs w:val="32"/>
        </w:rPr>
        <w:t>附件1</w:t>
      </w:r>
    </w:p>
    <w:p>
      <w:pPr>
        <w:adjustRightInd w:val="0"/>
        <w:snapToGrid w:val="0"/>
        <w:spacing w:before="289" w:beforeLines="50"/>
        <w:jc w:val="center"/>
        <w:rPr>
          <w:rFonts w:eastAsia="方正小标宋简体"/>
          <w:color w:val="auto"/>
          <w:kern w:val="0"/>
          <w:sz w:val="44"/>
          <w:szCs w:val="44"/>
          <w:lang w:bidi="ar"/>
        </w:rPr>
      </w:pPr>
      <w:r>
        <w:rPr>
          <w:rFonts w:eastAsia="方正小标宋简体"/>
          <w:color w:val="auto"/>
          <w:kern w:val="0"/>
          <w:sz w:val="44"/>
          <w:szCs w:val="44"/>
          <w:lang w:bidi="ar"/>
        </w:rPr>
        <w:t>202</w:t>
      </w:r>
      <w:r>
        <w:rPr>
          <w:rFonts w:hint="eastAsia" w:eastAsia="方正小标宋简体"/>
          <w:color w:val="auto"/>
          <w:kern w:val="0"/>
          <w:sz w:val="44"/>
          <w:szCs w:val="44"/>
          <w:lang w:bidi="ar"/>
        </w:rPr>
        <w:t>1</w:t>
      </w:r>
      <w:r>
        <w:rPr>
          <w:rFonts w:eastAsia="方正小标宋简体"/>
          <w:color w:val="auto"/>
          <w:kern w:val="0"/>
          <w:sz w:val="44"/>
          <w:szCs w:val="44"/>
          <w:lang w:bidi="ar"/>
        </w:rPr>
        <w:t>年度郑州市补贴性职业技能提升培训</w:t>
      </w:r>
    </w:p>
    <w:p>
      <w:pPr>
        <w:adjustRightInd w:val="0"/>
        <w:snapToGrid w:val="0"/>
        <w:spacing w:after="289" w:afterLines="50"/>
        <w:jc w:val="center"/>
        <w:rPr>
          <w:rFonts w:eastAsia="方正小标宋简体"/>
          <w:color w:val="auto"/>
          <w:kern w:val="0"/>
          <w:sz w:val="44"/>
          <w:szCs w:val="44"/>
          <w:lang w:bidi="ar"/>
        </w:rPr>
      </w:pPr>
      <w:r>
        <w:rPr>
          <w:rFonts w:eastAsia="方正小标宋简体"/>
          <w:color w:val="auto"/>
          <w:kern w:val="0"/>
          <w:sz w:val="44"/>
          <w:szCs w:val="44"/>
          <w:lang w:bidi="ar"/>
        </w:rPr>
        <w:t>目标任务分解</w:t>
      </w:r>
    </w:p>
    <w:tbl>
      <w:tblPr>
        <w:tblStyle w:val="8"/>
        <w:tblW w:w="90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4"/>
        <w:gridCol w:w="3329"/>
        <w:gridCol w:w="3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exact"/>
          <w:jc w:val="center"/>
        </w:trPr>
        <w:tc>
          <w:tcPr>
            <w:tcW w:w="2514" w:type="dxa"/>
            <w:vMerge w:val="restart"/>
            <w:tcBorders>
              <w:right w:val="single" w:color="auto" w:sz="4" w:space="0"/>
            </w:tcBorders>
            <w:shd w:val="clear" w:color="auto" w:fill="auto"/>
            <w:vAlign w:val="center"/>
          </w:tcPr>
          <w:p>
            <w:pPr>
              <w:adjustRightInd w:val="0"/>
              <w:snapToGrid w:val="0"/>
              <w:jc w:val="center"/>
              <w:textAlignment w:val="center"/>
              <w:rPr>
                <w:rFonts w:eastAsia="宋体"/>
                <w:color w:val="auto"/>
                <w:sz w:val="24"/>
              </w:rPr>
            </w:pPr>
            <w:r>
              <w:rPr>
                <w:rFonts w:eastAsia="黑体"/>
                <w:color w:val="auto"/>
                <w:kern w:val="0"/>
                <w:sz w:val="24"/>
                <w:lang w:bidi="ar"/>
              </w:rPr>
              <w:t>单</w:t>
            </w:r>
            <w:r>
              <w:rPr>
                <w:rFonts w:hint="eastAsia" w:eastAsia="黑体"/>
                <w:color w:val="auto"/>
                <w:kern w:val="0"/>
                <w:sz w:val="24"/>
                <w:lang w:bidi="ar"/>
              </w:rPr>
              <w:t xml:space="preserve">  </w:t>
            </w:r>
            <w:r>
              <w:rPr>
                <w:rFonts w:eastAsia="黑体"/>
                <w:color w:val="auto"/>
                <w:kern w:val="0"/>
                <w:sz w:val="24"/>
                <w:lang w:bidi="ar"/>
              </w:rPr>
              <w:t>位</w:t>
            </w:r>
          </w:p>
        </w:tc>
        <w:tc>
          <w:tcPr>
            <w:tcW w:w="3329" w:type="dxa"/>
            <w:vMerge w:val="restart"/>
            <w:tcBorders>
              <w:left w:val="single" w:color="auto" w:sz="4" w:space="0"/>
              <w:bottom w:val="single" w:color="auto" w:sz="4" w:space="0"/>
              <w:right w:val="nil"/>
            </w:tcBorders>
            <w:shd w:val="clear" w:color="auto" w:fill="FFFFFF"/>
            <w:vAlign w:val="center"/>
          </w:tcPr>
          <w:p>
            <w:pPr>
              <w:adjustRightInd w:val="0"/>
              <w:snapToGrid w:val="0"/>
              <w:jc w:val="center"/>
              <w:textAlignment w:val="center"/>
              <w:rPr>
                <w:rFonts w:eastAsia="黑体"/>
                <w:color w:val="auto"/>
                <w:kern w:val="0"/>
                <w:sz w:val="24"/>
                <w:lang w:bidi="ar"/>
              </w:rPr>
            </w:pPr>
            <w:r>
              <w:rPr>
                <w:rFonts w:eastAsia="黑体"/>
                <w:color w:val="auto"/>
                <w:kern w:val="0"/>
                <w:sz w:val="24"/>
                <w:lang w:bidi="ar"/>
              </w:rPr>
              <w:t>开展补贴性技能培训人次</w:t>
            </w:r>
          </w:p>
        </w:tc>
        <w:tc>
          <w:tcPr>
            <w:tcW w:w="3212" w:type="dxa"/>
            <w:tcBorders>
              <w:left w:val="nil"/>
              <w:bottom w:val="single" w:color="auto" w:sz="4" w:space="0"/>
              <w:right w:val="single" w:color="auto" w:sz="4" w:space="0"/>
            </w:tcBorders>
            <w:shd w:val="clear" w:color="auto" w:fill="FFFFFF"/>
            <w:vAlign w:val="center"/>
          </w:tcPr>
          <w:p>
            <w:pPr>
              <w:adjustRightInd w:val="0"/>
              <w:snapToGrid w:val="0"/>
              <w:jc w:val="center"/>
              <w:textAlignment w:val="center"/>
              <w:rPr>
                <w:rFonts w:eastAsia="黑体"/>
                <w:color w:val="auto"/>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514" w:type="dxa"/>
            <w:vMerge w:val="continue"/>
            <w:tcBorders>
              <w:right w:val="single" w:color="auto" w:sz="4" w:space="0"/>
            </w:tcBorders>
            <w:shd w:val="clear" w:color="auto" w:fill="auto"/>
            <w:vAlign w:val="center"/>
          </w:tcPr>
          <w:p>
            <w:pPr>
              <w:snapToGrid w:val="0"/>
              <w:jc w:val="center"/>
              <w:textAlignment w:val="center"/>
              <w:rPr>
                <w:rFonts w:eastAsia="黑体"/>
                <w:color w:val="auto"/>
                <w:kern w:val="0"/>
                <w:sz w:val="24"/>
                <w:lang w:bidi="ar"/>
              </w:rPr>
            </w:pPr>
          </w:p>
        </w:tc>
        <w:tc>
          <w:tcPr>
            <w:tcW w:w="3329" w:type="dxa"/>
            <w:vMerge w:val="continue"/>
            <w:tcBorders>
              <w:top w:val="single" w:color="auto" w:sz="4" w:space="0"/>
              <w:left w:val="single" w:color="auto" w:sz="4" w:space="0"/>
              <w:bottom w:val="single" w:color="auto" w:sz="4" w:space="0"/>
              <w:right w:val="nil"/>
            </w:tcBorders>
            <w:shd w:val="clear" w:color="auto" w:fill="FFFFFF"/>
            <w:vAlign w:val="center"/>
          </w:tcPr>
          <w:p>
            <w:pPr>
              <w:snapToGrid w:val="0"/>
              <w:jc w:val="center"/>
              <w:textAlignment w:val="center"/>
              <w:rPr>
                <w:rFonts w:eastAsia="黑体"/>
                <w:color w:val="auto"/>
                <w:kern w:val="0"/>
                <w:sz w:val="24"/>
                <w:lang w:bidi="ar"/>
              </w:rPr>
            </w:pPr>
          </w:p>
        </w:tc>
        <w:tc>
          <w:tcPr>
            <w:tcW w:w="3212"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jc w:val="center"/>
              <w:textAlignment w:val="center"/>
              <w:rPr>
                <w:rFonts w:eastAsia="黑体"/>
                <w:color w:val="auto"/>
                <w:kern w:val="0"/>
                <w:sz w:val="24"/>
                <w:lang w:bidi="ar"/>
              </w:rPr>
            </w:pPr>
            <w:r>
              <w:rPr>
                <w:rFonts w:eastAsia="黑体"/>
                <w:color w:val="auto"/>
                <w:kern w:val="0"/>
                <w:sz w:val="24"/>
                <w:lang w:bidi="ar"/>
              </w:rPr>
              <w:t>开展新型学徒制培训人数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514" w:type="dxa"/>
            <w:vAlign w:val="center"/>
          </w:tcPr>
          <w:p>
            <w:pPr>
              <w:adjustRightInd w:val="0"/>
              <w:snapToGrid w:val="0"/>
              <w:jc w:val="center"/>
              <w:textAlignment w:val="center"/>
              <w:rPr>
                <w:color w:val="auto"/>
                <w:sz w:val="24"/>
              </w:rPr>
            </w:pPr>
            <w:r>
              <w:rPr>
                <w:color w:val="auto"/>
                <w:sz w:val="24"/>
              </w:rPr>
              <w:t>郑州市总计</w:t>
            </w:r>
          </w:p>
        </w:tc>
        <w:tc>
          <w:tcPr>
            <w:tcW w:w="3329" w:type="dxa"/>
            <w:tcBorders>
              <w:top w:val="single" w:color="auto" w:sz="4" w:space="0"/>
            </w:tcBorders>
            <w:vAlign w:val="center"/>
          </w:tcPr>
          <w:p>
            <w:pPr>
              <w:autoSpaceDN w:val="0"/>
              <w:adjustRightInd w:val="0"/>
              <w:snapToGrid w:val="0"/>
              <w:jc w:val="center"/>
              <w:textAlignment w:val="center"/>
              <w:rPr>
                <w:color w:val="auto"/>
                <w:sz w:val="24"/>
              </w:rPr>
            </w:pPr>
            <w:r>
              <w:rPr>
                <w:rFonts w:hint="eastAsia"/>
                <w:color w:val="auto"/>
                <w:sz w:val="24"/>
              </w:rPr>
              <w:t>350000</w:t>
            </w:r>
          </w:p>
        </w:tc>
        <w:tc>
          <w:tcPr>
            <w:tcW w:w="3212" w:type="dxa"/>
            <w:tcBorders>
              <w:top w:val="single" w:color="auto" w:sz="4" w:space="0"/>
            </w:tcBorders>
            <w:vAlign w:val="center"/>
          </w:tcPr>
          <w:p>
            <w:pPr>
              <w:autoSpaceDN w:val="0"/>
              <w:adjustRightInd w:val="0"/>
              <w:snapToGrid w:val="0"/>
              <w:jc w:val="center"/>
              <w:textAlignment w:val="center"/>
              <w:rPr>
                <w:color w:val="auto"/>
                <w:sz w:val="24"/>
              </w:rPr>
            </w:pPr>
            <w:r>
              <w:rPr>
                <w:rFonts w:hint="eastAsia"/>
                <w:color w:val="auto"/>
                <w:sz w:val="24"/>
              </w:rPr>
              <w:t>10500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514" w:type="dxa"/>
            <w:vAlign w:val="center"/>
          </w:tcPr>
          <w:p>
            <w:pPr>
              <w:adjustRightInd w:val="0"/>
              <w:snapToGrid w:val="0"/>
              <w:jc w:val="center"/>
              <w:textAlignment w:val="center"/>
              <w:rPr>
                <w:color w:val="auto"/>
                <w:sz w:val="24"/>
              </w:rPr>
            </w:pPr>
            <w:r>
              <w:rPr>
                <w:color w:val="auto"/>
                <w:sz w:val="24"/>
              </w:rPr>
              <w:t>市本级</w:t>
            </w:r>
          </w:p>
        </w:tc>
        <w:tc>
          <w:tcPr>
            <w:tcW w:w="3329" w:type="dxa"/>
            <w:tcBorders>
              <w:top w:val="single" w:color="auto" w:sz="4" w:space="0"/>
            </w:tcBorders>
            <w:vAlign w:val="center"/>
          </w:tcPr>
          <w:p>
            <w:pPr>
              <w:autoSpaceDN w:val="0"/>
              <w:adjustRightInd w:val="0"/>
              <w:snapToGrid w:val="0"/>
              <w:jc w:val="center"/>
              <w:textAlignment w:val="center"/>
              <w:rPr>
                <w:color w:val="auto"/>
                <w:sz w:val="24"/>
              </w:rPr>
            </w:pPr>
            <w:r>
              <w:rPr>
                <w:color w:val="auto"/>
                <w:sz w:val="24"/>
              </w:rPr>
              <w:t>1</w:t>
            </w:r>
            <w:r>
              <w:rPr>
                <w:rFonts w:hint="eastAsia"/>
                <w:color w:val="auto"/>
                <w:sz w:val="24"/>
              </w:rPr>
              <w:t>0</w:t>
            </w:r>
            <w:r>
              <w:rPr>
                <w:color w:val="auto"/>
                <w:sz w:val="24"/>
              </w:rPr>
              <w:t>0000</w:t>
            </w:r>
          </w:p>
        </w:tc>
        <w:tc>
          <w:tcPr>
            <w:tcW w:w="3212" w:type="dxa"/>
            <w:tcBorders>
              <w:top w:val="single" w:color="auto" w:sz="4" w:space="0"/>
            </w:tcBorders>
            <w:vAlign w:val="center"/>
          </w:tcPr>
          <w:p>
            <w:pPr>
              <w:autoSpaceDN w:val="0"/>
              <w:adjustRightInd w:val="0"/>
              <w:snapToGrid w:val="0"/>
              <w:jc w:val="center"/>
              <w:textAlignment w:val="center"/>
              <w:rPr>
                <w:color w:val="auto"/>
                <w:sz w:val="24"/>
              </w:rPr>
            </w:pPr>
            <w:r>
              <w:rPr>
                <w:color w:val="auto"/>
                <w:sz w:val="24"/>
              </w:rPr>
              <w:t>1</w:t>
            </w:r>
            <w:r>
              <w:rPr>
                <w:rFonts w:hint="eastAsia"/>
                <w:color w:val="auto"/>
                <w:sz w:val="24"/>
              </w:rPr>
              <w:t>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514" w:type="dxa"/>
            <w:vAlign w:val="center"/>
          </w:tcPr>
          <w:p>
            <w:pPr>
              <w:adjustRightInd w:val="0"/>
              <w:snapToGrid w:val="0"/>
              <w:jc w:val="center"/>
              <w:textAlignment w:val="center"/>
              <w:rPr>
                <w:color w:val="auto"/>
                <w:sz w:val="24"/>
              </w:rPr>
            </w:pPr>
            <w:r>
              <w:rPr>
                <w:color w:val="auto"/>
                <w:sz w:val="24"/>
              </w:rPr>
              <w:t>县（市、区）合计</w:t>
            </w:r>
          </w:p>
        </w:tc>
        <w:tc>
          <w:tcPr>
            <w:tcW w:w="3329" w:type="dxa"/>
            <w:tcBorders>
              <w:top w:val="single" w:color="auto" w:sz="4" w:space="0"/>
            </w:tcBorders>
            <w:vAlign w:val="center"/>
          </w:tcPr>
          <w:p>
            <w:pPr>
              <w:autoSpaceDN w:val="0"/>
              <w:adjustRightInd w:val="0"/>
              <w:snapToGrid w:val="0"/>
              <w:jc w:val="center"/>
              <w:textAlignment w:val="center"/>
              <w:rPr>
                <w:color w:val="auto"/>
                <w:sz w:val="24"/>
              </w:rPr>
            </w:pPr>
            <w:r>
              <w:rPr>
                <w:color w:val="auto"/>
                <w:sz w:val="24"/>
              </w:rPr>
              <w:t>2</w:t>
            </w:r>
            <w:r>
              <w:rPr>
                <w:rFonts w:hint="eastAsia"/>
                <w:color w:val="auto"/>
                <w:sz w:val="24"/>
              </w:rPr>
              <w:t>5</w:t>
            </w:r>
            <w:r>
              <w:rPr>
                <w:color w:val="auto"/>
                <w:sz w:val="24"/>
              </w:rPr>
              <w:t>0000</w:t>
            </w:r>
          </w:p>
        </w:tc>
        <w:tc>
          <w:tcPr>
            <w:tcW w:w="3212" w:type="dxa"/>
            <w:tcBorders>
              <w:top w:val="single" w:color="auto" w:sz="4" w:space="0"/>
            </w:tcBorders>
            <w:vAlign w:val="center"/>
          </w:tcPr>
          <w:p>
            <w:pPr>
              <w:autoSpaceDN w:val="0"/>
              <w:adjustRightInd w:val="0"/>
              <w:snapToGrid w:val="0"/>
              <w:jc w:val="center"/>
              <w:textAlignment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514" w:type="dxa"/>
            <w:vAlign w:val="center"/>
          </w:tcPr>
          <w:p>
            <w:pPr>
              <w:adjustRightInd w:val="0"/>
              <w:snapToGrid w:val="0"/>
              <w:jc w:val="center"/>
              <w:textAlignment w:val="center"/>
              <w:rPr>
                <w:color w:val="auto"/>
                <w:sz w:val="24"/>
              </w:rPr>
            </w:pPr>
            <w:r>
              <w:rPr>
                <w:color w:val="auto"/>
                <w:sz w:val="24"/>
              </w:rPr>
              <w:t>金水区</w:t>
            </w:r>
          </w:p>
        </w:tc>
        <w:tc>
          <w:tcPr>
            <w:tcW w:w="3329" w:type="dxa"/>
            <w:tcBorders>
              <w:top w:val="single" w:color="auto" w:sz="4" w:space="0"/>
            </w:tcBorders>
            <w:vAlign w:val="center"/>
          </w:tcPr>
          <w:p>
            <w:pPr>
              <w:widowControl/>
              <w:jc w:val="center"/>
              <w:textAlignment w:val="center"/>
              <w:rPr>
                <w:color w:val="auto"/>
                <w:sz w:val="24"/>
                <w:szCs w:val="32"/>
              </w:rPr>
            </w:pPr>
            <w:r>
              <w:rPr>
                <w:rFonts w:eastAsia="宋体"/>
                <w:color w:val="auto"/>
                <w:kern w:val="0"/>
                <w:sz w:val="24"/>
                <w:lang w:bidi="ar"/>
              </w:rPr>
              <w:t>25000</w:t>
            </w:r>
          </w:p>
        </w:tc>
        <w:tc>
          <w:tcPr>
            <w:tcW w:w="3212" w:type="dxa"/>
            <w:tcBorders>
              <w:top w:val="single" w:color="auto" w:sz="4" w:space="0"/>
            </w:tcBorders>
            <w:vAlign w:val="center"/>
          </w:tcPr>
          <w:p>
            <w:pPr>
              <w:autoSpaceDN w:val="0"/>
              <w:adjustRightInd w:val="0"/>
              <w:snapToGrid w:val="0"/>
              <w:jc w:val="center"/>
              <w:textAlignment w:val="center"/>
              <w:rPr>
                <w:color w:val="auto"/>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514" w:type="dxa"/>
            <w:vAlign w:val="center"/>
          </w:tcPr>
          <w:p>
            <w:pPr>
              <w:adjustRightInd w:val="0"/>
              <w:snapToGrid w:val="0"/>
              <w:jc w:val="center"/>
              <w:textAlignment w:val="center"/>
              <w:rPr>
                <w:color w:val="auto"/>
                <w:sz w:val="24"/>
              </w:rPr>
            </w:pPr>
            <w:r>
              <w:rPr>
                <w:color w:val="auto"/>
                <w:sz w:val="24"/>
              </w:rPr>
              <w:t>郑东新区</w:t>
            </w:r>
          </w:p>
        </w:tc>
        <w:tc>
          <w:tcPr>
            <w:tcW w:w="3329" w:type="dxa"/>
            <w:vAlign w:val="center"/>
          </w:tcPr>
          <w:p>
            <w:pPr>
              <w:widowControl/>
              <w:jc w:val="center"/>
              <w:textAlignment w:val="center"/>
              <w:rPr>
                <w:color w:val="auto"/>
                <w:sz w:val="24"/>
              </w:rPr>
            </w:pPr>
            <w:r>
              <w:rPr>
                <w:rFonts w:eastAsia="宋体"/>
                <w:color w:val="auto"/>
                <w:kern w:val="0"/>
                <w:sz w:val="24"/>
                <w:lang w:bidi="ar"/>
              </w:rPr>
              <w:t>25000</w:t>
            </w:r>
          </w:p>
        </w:tc>
        <w:tc>
          <w:tcPr>
            <w:tcW w:w="3212" w:type="dxa"/>
            <w:vAlign w:val="center"/>
          </w:tcPr>
          <w:p>
            <w:pPr>
              <w:autoSpaceDN w:val="0"/>
              <w:adjustRightInd w:val="0"/>
              <w:snapToGrid w:val="0"/>
              <w:jc w:val="center"/>
              <w:textAlignment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514" w:type="dxa"/>
            <w:vAlign w:val="center"/>
          </w:tcPr>
          <w:p>
            <w:pPr>
              <w:adjustRightInd w:val="0"/>
              <w:snapToGrid w:val="0"/>
              <w:jc w:val="center"/>
              <w:textAlignment w:val="center"/>
              <w:rPr>
                <w:color w:val="auto"/>
                <w:sz w:val="24"/>
              </w:rPr>
            </w:pPr>
            <w:r>
              <w:rPr>
                <w:color w:val="auto"/>
                <w:sz w:val="24"/>
              </w:rPr>
              <w:t>航空港区</w:t>
            </w:r>
          </w:p>
        </w:tc>
        <w:tc>
          <w:tcPr>
            <w:tcW w:w="3329" w:type="dxa"/>
            <w:vAlign w:val="center"/>
          </w:tcPr>
          <w:p>
            <w:pPr>
              <w:widowControl/>
              <w:jc w:val="center"/>
              <w:textAlignment w:val="center"/>
              <w:rPr>
                <w:color w:val="auto"/>
                <w:sz w:val="24"/>
              </w:rPr>
            </w:pPr>
            <w:r>
              <w:rPr>
                <w:rFonts w:eastAsia="宋体"/>
                <w:color w:val="auto"/>
                <w:kern w:val="0"/>
                <w:sz w:val="24"/>
                <w:lang w:bidi="ar"/>
              </w:rPr>
              <w:t>25000</w:t>
            </w:r>
          </w:p>
        </w:tc>
        <w:tc>
          <w:tcPr>
            <w:tcW w:w="3212" w:type="dxa"/>
            <w:vAlign w:val="center"/>
          </w:tcPr>
          <w:p>
            <w:pPr>
              <w:autoSpaceDN w:val="0"/>
              <w:adjustRightInd w:val="0"/>
              <w:snapToGrid w:val="0"/>
              <w:jc w:val="center"/>
              <w:textAlignment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514" w:type="dxa"/>
            <w:vAlign w:val="center"/>
          </w:tcPr>
          <w:p>
            <w:pPr>
              <w:adjustRightInd w:val="0"/>
              <w:snapToGrid w:val="0"/>
              <w:jc w:val="center"/>
              <w:textAlignment w:val="center"/>
              <w:rPr>
                <w:color w:val="auto"/>
                <w:sz w:val="24"/>
              </w:rPr>
            </w:pPr>
            <w:r>
              <w:rPr>
                <w:color w:val="auto"/>
                <w:sz w:val="24"/>
              </w:rPr>
              <w:t>高新区</w:t>
            </w:r>
          </w:p>
        </w:tc>
        <w:tc>
          <w:tcPr>
            <w:tcW w:w="3329" w:type="dxa"/>
            <w:vAlign w:val="center"/>
          </w:tcPr>
          <w:p>
            <w:pPr>
              <w:widowControl/>
              <w:jc w:val="center"/>
              <w:textAlignment w:val="center"/>
              <w:rPr>
                <w:color w:val="auto"/>
                <w:sz w:val="24"/>
              </w:rPr>
            </w:pPr>
            <w:r>
              <w:rPr>
                <w:rFonts w:eastAsia="宋体"/>
                <w:color w:val="auto"/>
                <w:kern w:val="0"/>
                <w:sz w:val="24"/>
                <w:lang w:bidi="ar"/>
              </w:rPr>
              <w:t>21000</w:t>
            </w:r>
          </w:p>
        </w:tc>
        <w:tc>
          <w:tcPr>
            <w:tcW w:w="3212" w:type="dxa"/>
            <w:vAlign w:val="center"/>
          </w:tcPr>
          <w:p>
            <w:pPr>
              <w:autoSpaceDN w:val="0"/>
              <w:adjustRightInd w:val="0"/>
              <w:snapToGrid w:val="0"/>
              <w:jc w:val="center"/>
              <w:textAlignment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514" w:type="dxa"/>
            <w:vAlign w:val="center"/>
          </w:tcPr>
          <w:p>
            <w:pPr>
              <w:adjustRightInd w:val="0"/>
              <w:snapToGrid w:val="0"/>
              <w:jc w:val="center"/>
              <w:textAlignment w:val="center"/>
              <w:rPr>
                <w:color w:val="auto"/>
                <w:sz w:val="24"/>
              </w:rPr>
            </w:pPr>
            <w:r>
              <w:rPr>
                <w:color w:val="auto"/>
                <w:sz w:val="24"/>
              </w:rPr>
              <w:t>经开区</w:t>
            </w:r>
          </w:p>
        </w:tc>
        <w:tc>
          <w:tcPr>
            <w:tcW w:w="3329" w:type="dxa"/>
            <w:vAlign w:val="center"/>
          </w:tcPr>
          <w:p>
            <w:pPr>
              <w:widowControl/>
              <w:jc w:val="center"/>
              <w:textAlignment w:val="center"/>
              <w:rPr>
                <w:color w:val="auto"/>
                <w:sz w:val="24"/>
              </w:rPr>
            </w:pPr>
            <w:r>
              <w:rPr>
                <w:rFonts w:eastAsia="宋体"/>
                <w:color w:val="auto"/>
                <w:kern w:val="0"/>
                <w:sz w:val="24"/>
                <w:lang w:bidi="ar"/>
              </w:rPr>
              <w:t>21000</w:t>
            </w:r>
          </w:p>
        </w:tc>
        <w:tc>
          <w:tcPr>
            <w:tcW w:w="3212" w:type="dxa"/>
            <w:vAlign w:val="center"/>
          </w:tcPr>
          <w:p>
            <w:pPr>
              <w:autoSpaceDN w:val="0"/>
              <w:adjustRightInd w:val="0"/>
              <w:snapToGrid w:val="0"/>
              <w:jc w:val="center"/>
              <w:textAlignment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514" w:type="dxa"/>
            <w:vAlign w:val="center"/>
          </w:tcPr>
          <w:p>
            <w:pPr>
              <w:adjustRightInd w:val="0"/>
              <w:snapToGrid w:val="0"/>
              <w:jc w:val="center"/>
              <w:textAlignment w:val="center"/>
              <w:rPr>
                <w:color w:val="auto"/>
                <w:sz w:val="24"/>
              </w:rPr>
            </w:pPr>
            <w:r>
              <w:rPr>
                <w:color w:val="auto"/>
                <w:sz w:val="24"/>
              </w:rPr>
              <w:t>二七区</w:t>
            </w:r>
          </w:p>
        </w:tc>
        <w:tc>
          <w:tcPr>
            <w:tcW w:w="3329" w:type="dxa"/>
            <w:vAlign w:val="center"/>
          </w:tcPr>
          <w:p>
            <w:pPr>
              <w:widowControl/>
              <w:jc w:val="center"/>
              <w:textAlignment w:val="center"/>
              <w:rPr>
                <w:color w:val="auto"/>
                <w:sz w:val="24"/>
              </w:rPr>
            </w:pPr>
            <w:r>
              <w:rPr>
                <w:rFonts w:eastAsia="宋体"/>
                <w:color w:val="auto"/>
                <w:kern w:val="0"/>
                <w:sz w:val="24"/>
                <w:lang w:bidi="ar"/>
              </w:rPr>
              <w:t>15000</w:t>
            </w:r>
          </w:p>
        </w:tc>
        <w:tc>
          <w:tcPr>
            <w:tcW w:w="3212" w:type="dxa"/>
            <w:vAlign w:val="center"/>
          </w:tcPr>
          <w:p>
            <w:pPr>
              <w:autoSpaceDN w:val="0"/>
              <w:adjustRightInd w:val="0"/>
              <w:snapToGrid w:val="0"/>
              <w:jc w:val="center"/>
              <w:textAlignment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514" w:type="dxa"/>
            <w:vAlign w:val="center"/>
          </w:tcPr>
          <w:p>
            <w:pPr>
              <w:adjustRightInd w:val="0"/>
              <w:snapToGrid w:val="0"/>
              <w:jc w:val="center"/>
              <w:textAlignment w:val="center"/>
              <w:rPr>
                <w:color w:val="auto"/>
                <w:sz w:val="24"/>
              </w:rPr>
            </w:pPr>
            <w:r>
              <w:rPr>
                <w:color w:val="auto"/>
                <w:sz w:val="24"/>
              </w:rPr>
              <w:t>中原区</w:t>
            </w:r>
          </w:p>
        </w:tc>
        <w:tc>
          <w:tcPr>
            <w:tcW w:w="3329" w:type="dxa"/>
            <w:vAlign w:val="center"/>
          </w:tcPr>
          <w:p>
            <w:pPr>
              <w:widowControl/>
              <w:jc w:val="center"/>
              <w:textAlignment w:val="center"/>
              <w:rPr>
                <w:color w:val="auto"/>
                <w:sz w:val="24"/>
              </w:rPr>
            </w:pPr>
            <w:r>
              <w:rPr>
                <w:rFonts w:eastAsia="宋体"/>
                <w:color w:val="auto"/>
                <w:kern w:val="0"/>
                <w:sz w:val="24"/>
                <w:lang w:bidi="ar"/>
              </w:rPr>
              <w:t>14000</w:t>
            </w:r>
          </w:p>
        </w:tc>
        <w:tc>
          <w:tcPr>
            <w:tcW w:w="3212" w:type="dxa"/>
            <w:vAlign w:val="center"/>
          </w:tcPr>
          <w:p>
            <w:pPr>
              <w:autoSpaceDN w:val="0"/>
              <w:adjustRightInd w:val="0"/>
              <w:snapToGrid w:val="0"/>
              <w:jc w:val="center"/>
              <w:textAlignment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514" w:type="dxa"/>
            <w:vAlign w:val="center"/>
          </w:tcPr>
          <w:p>
            <w:pPr>
              <w:adjustRightInd w:val="0"/>
              <w:snapToGrid w:val="0"/>
              <w:jc w:val="center"/>
              <w:textAlignment w:val="center"/>
              <w:rPr>
                <w:color w:val="auto"/>
                <w:sz w:val="24"/>
              </w:rPr>
            </w:pPr>
            <w:r>
              <w:rPr>
                <w:color w:val="auto"/>
                <w:sz w:val="24"/>
              </w:rPr>
              <w:t>管城区</w:t>
            </w:r>
          </w:p>
        </w:tc>
        <w:tc>
          <w:tcPr>
            <w:tcW w:w="3329" w:type="dxa"/>
            <w:vAlign w:val="center"/>
          </w:tcPr>
          <w:p>
            <w:pPr>
              <w:widowControl/>
              <w:jc w:val="center"/>
              <w:textAlignment w:val="center"/>
              <w:rPr>
                <w:color w:val="auto"/>
                <w:sz w:val="24"/>
              </w:rPr>
            </w:pPr>
            <w:r>
              <w:rPr>
                <w:rFonts w:eastAsia="宋体"/>
                <w:color w:val="auto"/>
                <w:kern w:val="0"/>
                <w:sz w:val="24"/>
                <w:lang w:bidi="ar"/>
              </w:rPr>
              <w:t>12000</w:t>
            </w:r>
          </w:p>
        </w:tc>
        <w:tc>
          <w:tcPr>
            <w:tcW w:w="3212" w:type="dxa"/>
            <w:vAlign w:val="center"/>
          </w:tcPr>
          <w:p>
            <w:pPr>
              <w:autoSpaceDN w:val="0"/>
              <w:adjustRightInd w:val="0"/>
              <w:snapToGrid w:val="0"/>
              <w:jc w:val="center"/>
              <w:textAlignment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514" w:type="dxa"/>
            <w:vAlign w:val="center"/>
          </w:tcPr>
          <w:p>
            <w:pPr>
              <w:adjustRightInd w:val="0"/>
              <w:snapToGrid w:val="0"/>
              <w:jc w:val="center"/>
              <w:textAlignment w:val="center"/>
              <w:rPr>
                <w:color w:val="auto"/>
                <w:sz w:val="24"/>
              </w:rPr>
            </w:pPr>
            <w:r>
              <w:rPr>
                <w:color w:val="auto"/>
                <w:sz w:val="24"/>
              </w:rPr>
              <w:t>惠济区</w:t>
            </w:r>
          </w:p>
        </w:tc>
        <w:tc>
          <w:tcPr>
            <w:tcW w:w="3329" w:type="dxa"/>
            <w:vAlign w:val="center"/>
          </w:tcPr>
          <w:p>
            <w:pPr>
              <w:widowControl/>
              <w:jc w:val="center"/>
              <w:textAlignment w:val="center"/>
              <w:rPr>
                <w:color w:val="auto"/>
                <w:sz w:val="24"/>
              </w:rPr>
            </w:pPr>
            <w:r>
              <w:rPr>
                <w:rFonts w:eastAsia="宋体"/>
                <w:color w:val="auto"/>
                <w:kern w:val="0"/>
                <w:sz w:val="24"/>
                <w:lang w:bidi="ar"/>
              </w:rPr>
              <w:t>11000</w:t>
            </w:r>
          </w:p>
        </w:tc>
        <w:tc>
          <w:tcPr>
            <w:tcW w:w="3212" w:type="dxa"/>
            <w:vAlign w:val="center"/>
          </w:tcPr>
          <w:p>
            <w:pPr>
              <w:autoSpaceDN w:val="0"/>
              <w:adjustRightInd w:val="0"/>
              <w:snapToGrid w:val="0"/>
              <w:jc w:val="center"/>
              <w:textAlignment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514" w:type="dxa"/>
            <w:vAlign w:val="center"/>
          </w:tcPr>
          <w:p>
            <w:pPr>
              <w:adjustRightInd w:val="0"/>
              <w:snapToGrid w:val="0"/>
              <w:jc w:val="center"/>
              <w:textAlignment w:val="center"/>
              <w:rPr>
                <w:color w:val="auto"/>
                <w:sz w:val="24"/>
              </w:rPr>
            </w:pPr>
            <w:r>
              <w:rPr>
                <w:color w:val="auto"/>
                <w:sz w:val="24"/>
              </w:rPr>
              <w:t>上街区</w:t>
            </w:r>
          </w:p>
        </w:tc>
        <w:tc>
          <w:tcPr>
            <w:tcW w:w="3329" w:type="dxa"/>
            <w:vAlign w:val="center"/>
          </w:tcPr>
          <w:p>
            <w:pPr>
              <w:widowControl/>
              <w:jc w:val="center"/>
              <w:textAlignment w:val="center"/>
              <w:rPr>
                <w:color w:val="auto"/>
                <w:sz w:val="24"/>
              </w:rPr>
            </w:pPr>
            <w:r>
              <w:rPr>
                <w:rFonts w:eastAsia="宋体"/>
                <w:color w:val="auto"/>
                <w:kern w:val="0"/>
                <w:sz w:val="24"/>
                <w:lang w:bidi="ar"/>
              </w:rPr>
              <w:t>7000</w:t>
            </w:r>
          </w:p>
        </w:tc>
        <w:tc>
          <w:tcPr>
            <w:tcW w:w="3212" w:type="dxa"/>
            <w:vAlign w:val="center"/>
          </w:tcPr>
          <w:p>
            <w:pPr>
              <w:autoSpaceDN w:val="0"/>
              <w:adjustRightInd w:val="0"/>
              <w:snapToGrid w:val="0"/>
              <w:jc w:val="center"/>
              <w:textAlignment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514" w:type="dxa"/>
            <w:vAlign w:val="center"/>
          </w:tcPr>
          <w:p>
            <w:pPr>
              <w:adjustRightInd w:val="0"/>
              <w:snapToGrid w:val="0"/>
              <w:jc w:val="center"/>
              <w:textAlignment w:val="center"/>
              <w:rPr>
                <w:color w:val="auto"/>
                <w:sz w:val="24"/>
              </w:rPr>
            </w:pPr>
            <w:r>
              <w:rPr>
                <w:color w:val="auto"/>
                <w:sz w:val="24"/>
              </w:rPr>
              <w:t>中牟县</w:t>
            </w:r>
          </w:p>
        </w:tc>
        <w:tc>
          <w:tcPr>
            <w:tcW w:w="3329" w:type="dxa"/>
            <w:vAlign w:val="center"/>
          </w:tcPr>
          <w:p>
            <w:pPr>
              <w:widowControl/>
              <w:jc w:val="center"/>
              <w:textAlignment w:val="center"/>
              <w:rPr>
                <w:color w:val="auto"/>
                <w:sz w:val="24"/>
              </w:rPr>
            </w:pPr>
            <w:r>
              <w:rPr>
                <w:rFonts w:eastAsia="宋体"/>
                <w:color w:val="auto"/>
                <w:kern w:val="0"/>
                <w:sz w:val="24"/>
                <w:lang w:bidi="ar"/>
              </w:rPr>
              <w:t>15000</w:t>
            </w:r>
          </w:p>
        </w:tc>
        <w:tc>
          <w:tcPr>
            <w:tcW w:w="3212" w:type="dxa"/>
            <w:vAlign w:val="center"/>
          </w:tcPr>
          <w:p>
            <w:pPr>
              <w:autoSpaceDN w:val="0"/>
              <w:adjustRightInd w:val="0"/>
              <w:snapToGrid w:val="0"/>
              <w:jc w:val="center"/>
              <w:textAlignment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514" w:type="dxa"/>
            <w:vAlign w:val="center"/>
          </w:tcPr>
          <w:p>
            <w:pPr>
              <w:adjustRightInd w:val="0"/>
              <w:snapToGrid w:val="0"/>
              <w:jc w:val="center"/>
              <w:textAlignment w:val="center"/>
              <w:rPr>
                <w:color w:val="auto"/>
                <w:sz w:val="24"/>
              </w:rPr>
            </w:pPr>
            <w:r>
              <w:rPr>
                <w:color w:val="auto"/>
                <w:sz w:val="24"/>
              </w:rPr>
              <w:t>登封市</w:t>
            </w:r>
          </w:p>
        </w:tc>
        <w:tc>
          <w:tcPr>
            <w:tcW w:w="3329" w:type="dxa"/>
            <w:vAlign w:val="center"/>
          </w:tcPr>
          <w:p>
            <w:pPr>
              <w:widowControl/>
              <w:jc w:val="center"/>
              <w:textAlignment w:val="center"/>
              <w:rPr>
                <w:color w:val="auto"/>
                <w:sz w:val="24"/>
              </w:rPr>
            </w:pPr>
            <w:r>
              <w:rPr>
                <w:rFonts w:eastAsia="宋体"/>
                <w:color w:val="auto"/>
                <w:kern w:val="0"/>
                <w:sz w:val="24"/>
                <w:lang w:bidi="ar"/>
              </w:rPr>
              <w:t>12000</w:t>
            </w:r>
          </w:p>
        </w:tc>
        <w:tc>
          <w:tcPr>
            <w:tcW w:w="3212" w:type="dxa"/>
            <w:vAlign w:val="center"/>
          </w:tcPr>
          <w:p>
            <w:pPr>
              <w:autoSpaceDN w:val="0"/>
              <w:adjustRightInd w:val="0"/>
              <w:snapToGrid w:val="0"/>
              <w:jc w:val="center"/>
              <w:textAlignment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514" w:type="dxa"/>
            <w:vAlign w:val="center"/>
          </w:tcPr>
          <w:p>
            <w:pPr>
              <w:adjustRightInd w:val="0"/>
              <w:snapToGrid w:val="0"/>
              <w:jc w:val="center"/>
              <w:textAlignment w:val="center"/>
              <w:rPr>
                <w:color w:val="auto"/>
                <w:sz w:val="24"/>
              </w:rPr>
            </w:pPr>
            <w:r>
              <w:rPr>
                <w:color w:val="auto"/>
                <w:sz w:val="24"/>
              </w:rPr>
              <w:t>新密市</w:t>
            </w:r>
          </w:p>
        </w:tc>
        <w:tc>
          <w:tcPr>
            <w:tcW w:w="3329" w:type="dxa"/>
            <w:vAlign w:val="center"/>
          </w:tcPr>
          <w:p>
            <w:pPr>
              <w:widowControl/>
              <w:jc w:val="center"/>
              <w:textAlignment w:val="center"/>
              <w:rPr>
                <w:color w:val="auto"/>
                <w:sz w:val="24"/>
              </w:rPr>
            </w:pPr>
            <w:r>
              <w:rPr>
                <w:rFonts w:eastAsia="宋体"/>
                <w:color w:val="auto"/>
                <w:kern w:val="0"/>
                <w:sz w:val="24"/>
                <w:lang w:bidi="ar"/>
              </w:rPr>
              <w:t>14000</w:t>
            </w:r>
          </w:p>
        </w:tc>
        <w:tc>
          <w:tcPr>
            <w:tcW w:w="3212" w:type="dxa"/>
            <w:vAlign w:val="center"/>
          </w:tcPr>
          <w:p>
            <w:pPr>
              <w:autoSpaceDN w:val="0"/>
              <w:adjustRightInd w:val="0"/>
              <w:snapToGrid w:val="0"/>
              <w:jc w:val="center"/>
              <w:textAlignment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514" w:type="dxa"/>
            <w:vAlign w:val="center"/>
          </w:tcPr>
          <w:p>
            <w:pPr>
              <w:adjustRightInd w:val="0"/>
              <w:snapToGrid w:val="0"/>
              <w:jc w:val="center"/>
              <w:textAlignment w:val="center"/>
              <w:rPr>
                <w:color w:val="auto"/>
                <w:sz w:val="24"/>
              </w:rPr>
            </w:pPr>
            <w:r>
              <w:rPr>
                <w:color w:val="auto"/>
                <w:sz w:val="24"/>
              </w:rPr>
              <w:t>荥阳市</w:t>
            </w:r>
          </w:p>
        </w:tc>
        <w:tc>
          <w:tcPr>
            <w:tcW w:w="3329" w:type="dxa"/>
            <w:vAlign w:val="center"/>
          </w:tcPr>
          <w:p>
            <w:pPr>
              <w:widowControl/>
              <w:jc w:val="center"/>
              <w:textAlignment w:val="center"/>
              <w:rPr>
                <w:color w:val="auto"/>
                <w:sz w:val="24"/>
              </w:rPr>
            </w:pPr>
            <w:r>
              <w:rPr>
                <w:rFonts w:eastAsia="宋体"/>
                <w:color w:val="auto"/>
                <w:kern w:val="0"/>
                <w:sz w:val="24"/>
                <w:lang w:bidi="ar"/>
              </w:rPr>
              <w:t>12000</w:t>
            </w:r>
          </w:p>
        </w:tc>
        <w:tc>
          <w:tcPr>
            <w:tcW w:w="3212" w:type="dxa"/>
            <w:vAlign w:val="center"/>
          </w:tcPr>
          <w:p>
            <w:pPr>
              <w:autoSpaceDN w:val="0"/>
              <w:adjustRightInd w:val="0"/>
              <w:snapToGrid w:val="0"/>
              <w:jc w:val="center"/>
              <w:textAlignment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514" w:type="dxa"/>
            <w:vAlign w:val="center"/>
          </w:tcPr>
          <w:p>
            <w:pPr>
              <w:adjustRightInd w:val="0"/>
              <w:snapToGrid w:val="0"/>
              <w:jc w:val="center"/>
              <w:textAlignment w:val="center"/>
              <w:rPr>
                <w:color w:val="auto"/>
                <w:sz w:val="24"/>
              </w:rPr>
            </w:pPr>
            <w:r>
              <w:rPr>
                <w:color w:val="auto"/>
                <w:sz w:val="24"/>
              </w:rPr>
              <w:t>新郑市</w:t>
            </w:r>
          </w:p>
        </w:tc>
        <w:tc>
          <w:tcPr>
            <w:tcW w:w="3329" w:type="dxa"/>
            <w:vAlign w:val="center"/>
          </w:tcPr>
          <w:p>
            <w:pPr>
              <w:widowControl/>
              <w:jc w:val="center"/>
              <w:textAlignment w:val="center"/>
              <w:rPr>
                <w:color w:val="auto"/>
                <w:sz w:val="24"/>
              </w:rPr>
            </w:pPr>
            <w:r>
              <w:rPr>
                <w:rFonts w:eastAsia="宋体"/>
                <w:color w:val="auto"/>
                <w:kern w:val="0"/>
                <w:sz w:val="24"/>
                <w:lang w:bidi="ar"/>
              </w:rPr>
              <w:t>21000</w:t>
            </w:r>
          </w:p>
        </w:tc>
        <w:tc>
          <w:tcPr>
            <w:tcW w:w="3212" w:type="dxa"/>
            <w:vAlign w:val="center"/>
          </w:tcPr>
          <w:p>
            <w:pPr>
              <w:autoSpaceDN w:val="0"/>
              <w:adjustRightInd w:val="0"/>
              <w:snapToGrid w:val="0"/>
              <w:jc w:val="center"/>
              <w:textAlignment w:val="center"/>
              <w:rPr>
                <w:color w:val="auto"/>
                <w:sz w:val="24"/>
              </w:rPr>
            </w:pPr>
          </w:p>
        </w:tc>
      </w:tr>
    </w:tbl>
    <w:p>
      <w:pPr>
        <w:pStyle w:val="2"/>
        <w:rPr>
          <w:rFonts w:ascii="黑体" w:hAnsi="黑体" w:eastAsia="黑体" w:cs="黑体"/>
          <w:color w:val="auto"/>
          <w:sz w:val="32"/>
          <w:szCs w:val="32"/>
        </w:rPr>
        <w:sectPr>
          <w:pgSz w:w="11906" w:h="16838"/>
          <w:pgMar w:top="2098" w:right="1474" w:bottom="1984" w:left="1588" w:header="851" w:footer="1587" w:gutter="0"/>
          <w:cols w:space="0" w:num="1"/>
          <w:rtlGutter w:val="1"/>
          <w:docGrid w:type="linesAndChars" w:linePitch="579" w:charSpace="-849"/>
        </w:sectPr>
      </w:pPr>
    </w:p>
    <w:p>
      <w:pPr>
        <w:spacing w:line="600" w:lineRule="exact"/>
        <w:jc w:val="center"/>
        <w:rPr>
          <w:rFonts w:ascii="文星标宋" w:hAnsi="文星标宋" w:eastAsia="文星标宋"/>
          <w:color w:val="auto"/>
          <w:sz w:val="44"/>
          <w:szCs w:val="44"/>
        </w:rPr>
      </w:pPr>
      <w:r>
        <w:rPr>
          <w:rFonts w:hint="eastAsia" w:ascii="文星标宋" w:hAnsi="文星标宋" w:eastAsia="文星标宋"/>
          <w:color w:val="auto"/>
          <w:sz w:val="44"/>
          <w:szCs w:val="44"/>
        </w:rPr>
        <w:t>年度补贴性职业技能提升培训申请表</w:t>
      </w:r>
    </w:p>
    <w:tbl>
      <w:tblPr>
        <w:tblStyle w:val="8"/>
        <w:tblW w:w="9060" w:type="dxa"/>
        <w:jc w:val="center"/>
        <w:tblLayout w:type="fixed"/>
        <w:tblCellMar>
          <w:top w:w="0" w:type="dxa"/>
          <w:left w:w="108" w:type="dxa"/>
          <w:bottom w:w="0" w:type="dxa"/>
          <w:right w:w="108" w:type="dxa"/>
        </w:tblCellMar>
      </w:tblPr>
      <w:tblGrid>
        <w:gridCol w:w="1162"/>
        <w:gridCol w:w="2393"/>
        <w:gridCol w:w="877"/>
        <w:gridCol w:w="1229"/>
        <w:gridCol w:w="849"/>
        <w:gridCol w:w="375"/>
        <w:gridCol w:w="615"/>
        <w:gridCol w:w="1560"/>
      </w:tblGrid>
      <w:tr>
        <w:tblPrEx>
          <w:tblCellMar>
            <w:top w:w="0" w:type="dxa"/>
            <w:left w:w="108" w:type="dxa"/>
            <w:bottom w:w="0" w:type="dxa"/>
            <w:right w:w="108" w:type="dxa"/>
          </w:tblCellMar>
        </w:tblPrEx>
        <w:trPr>
          <w:trHeight w:val="983" w:hRule="atLeast"/>
          <w:jc w:val="center"/>
        </w:trPr>
        <w:tc>
          <w:tcPr>
            <w:tcW w:w="116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auto"/>
                <w:sz w:val="21"/>
                <w:szCs w:val="21"/>
              </w:rPr>
            </w:pPr>
            <w:r>
              <w:rPr>
                <w:rFonts w:hint="eastAsia"/>
                <w:color w:val="auto"/>
                <w:sz w:val="21"/>
                <w:szCs w:val="21"/>
              </w:rPr>
              <w:t>培训机构</w:t>
            </w:r>
            <w:r>
              <w:rPr>
                <w:rFonts w:hint="eastAsia"/>
                <w:color w:val="auto"/>
                <w:spacing w:val="-14"/>
                <w:sz w:val="21"/>
                <w:szCs w:val="21"/>
              </w:rPr>
              <w:t>（或企业、个人）</w:t>
            </w:r>
            <w:r>
              <w:rPr>
                <w:rFonts w:hint="eastAsia"/>
                <w:color w:val="auto"/>
                <w:sz w:val="21"/>
                <w:szCs w:val="21"/>
              </w:rPr>
              <w:t>名称</w:t>
            </w:r>
          </w:p>
        </w:tc>
        <w:tc>
          <w:tcPr>
            <w:tcW w:w="4503"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auto"/>
                <w:sz w:val="21"/>
                <w:szCs w:val="21"/>
              </w:rPr>
            </w:pPr>
            <w:r>
              <w:rPr>
                <w:rFonts w:hint="eastAsia"/>
                <w:color w:val="auto"/>
                <w:sz w:val="21"/>
                <w:szCs w:val="21"/>
              </w:rPr>
              <w:t>（加盖印章）</w:t>
            </w:r>
          </w:p>
        </w:tc>
        <w:tc>
          <w:tcPr>
            <w:tcW w:w="122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auto"/>
                <w:sz w:val="21"/>
                <w:szCs w:val="21"/>
              </w:rPr>
            </w:pPr>
            <w:r>
              <w:rPr>
                <w:rFonts w:hint="eastAsia"/>
                <w:color w:val="auto"/>
                <w:sz w:val="21"/>
                <w:szCs w:val="21"/>
              </w:rPr>
              <w:t>联系人</w:t>
            </w:r>
          </w:p>
          <w:p>
            <w:pPr>
              <w:spacing w:line="300" w:lineRule="exact"/>
              <w:jc w:val="center"/>
              <w:rPr>
                <w:color w:val="auto"/>
                <w:sz w:val="21"/>
                <w:szCs w:val="21"/>
              </w:rPr>
            </w:pPr>
            <w:r>
              <w:rPr>
                <w:rFonts w:hint="eastAsia"/>
                <w:color w:val="auto"/>
                <w:sz w:val="21"/>
                <w:szCs w:val="21"/>
              </w:rPr>
              <w:t>及电话</w:t>
            </w:r>
          </w:p>
        </w:tc>
        <w:tc>
          <w:tcPr>
            <w:tcW w:w="217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auto"/>
                <w:sz w:val="21"/>
                <w:szCs w:val="21"/>
              </w:rPr>
            </w:pPr>
          </w:p>
        </w:tc>
      </w:tr>
      <w:tr>
        <w:tblPrEx>
          <w:tblCellMar>
            <w:top w:w="0" w:type="dxa"/>
            <w:left w:w="108" w:type="dxa"/>
            <w:bottom w:w="0" w:type="dxa"/>
            <w:right w:w="108" w:type="dxa"/>
          </w:tblCellMar>
        </w:tblPrEx>
        <w:trPr>
          <w:trHeight w:val="698" w:hRule="atLeast"/>
          <w:jc w:val="center"/>
        </w:trPr>
        <w:tc>
          <w:tcPr>
            <w:tcW w:w="116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auto"/>
                <w:sz w:val="21"/>
                <w:szCs w:val="21"/>
              </w:rPr>
            </w:pPr>
            <w:r>
              <w:rPr>
                <w:rFonts w:hint="eastAsia"/>
                <w:color w:val="auto"/>
                <w:sz w:val="21"/>
                <w:szCs w:val="21"/>
              </w:rPr>
              <w:t>开户银行名称</w:t>
            </w:r>
          </w:p>
        </w:tc>
        <w:tc>
          <w:tcPr>
            <w:tcW w:w="4503"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auto"/>
                <w:sz w:val="21"/>
                <w:szCs w:val="21"/>
              </w:rPr>
            </w:pPr>
          </w:p>
        </w:tc>
        <w:tc>
          <w:tcPr>
            <w:tcW w:w="122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auto"/>
                <w:sz w:val="21"/>
                <w:szCs w:val="21"/>
              </w:rPr>
            </w:pPr>
            <w:r>
              <w:rPr>
                <w:rFonts w:hint="eastAsia"/>
                <w:color w:val="auto"/>
                <w:sz w:val="21"/>
                <w:szCs w:val="21"/>
              </w:rPr>
              <w:t>银行帐号</w:t>
            </w:r>
          </w:p>
        </w:tc>
        <w:tc>
          <w:tcPr>
            <w:tcW w:w="217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auto"/>
                <w:sz w:val="21"/>
                <w:szCs w:val="21"/>
              </w:rPr>
            </w:pPr>
          </w:p>
        </w:tc>
      </w:tr>
      <w:tr>
        <w:tblPrEx>
          <w:tblCellMar>
            <w:top w:w="0" w:type="dxa"/>
            <w:left w:w="108" w:type="dxa"/>
            <w:bottom w:w="0" w:type="dxa"/>
            <w:right w:w="108" w:type="dxa"/>
          </w:tblCellMar>
        </w:tblPrEx>
        <w:trPr>
          <w:trHeight w:val="836" w:hRule="atLeast"/>
          <w:jc w:val="center"/>
        </w:trPr>
        <w:tc>
          <w:tcPr>
            <w:tcW w:w="1163" w:type="dxa"/>
            <w:vMerge w:val="restart"/>
            <w:tcBorders>
              <w:top w:val="single" w:color="auto" w:sz="4" w:space="0"/>
              <w:left w:val="single" w:color="auto" w:sz="4" w:space="0"/>
              <w:bottom w:val="nil"/>
              <w:right w:val="single" w:color="auto" w:sz="4" w:space="0"/>
            </w:tcBorders>
            <w:vAlign w:val="center"/>
          </w:tcPr>
          <w:p>
            <w:pPr>
              <w:spacing w:line="400" w:lineRule="exact"/>
              <w:jc w:val="center"/>
              <w:rPr>
                <w:color w:val="auto"/>
                <w:sz w:val="21"/>
                <w:szCs w:val="21"/>
              </w:rPr>
            </w:pPr>
            <w:r>
              <w:rPr>
                <w:rFonts w:hint="eastAsia"/>
                <w:color w:val="auto"/>
                <w:sz w:val="21"/>
                <w:szCs w:val="21"/>
              </w:rPr>
              <w:t>开班</w:t>
            </w:r>
          </w:p>
          <w:p>
            <w:pPr>
              <w:spacing w:line="400" w:lineRule="exact"/>
              <w:jc w:val="center"/>
              <w:rPr>
                <w:color w:val="auto"/>
                <w:sz w:val="21"/>
                <w:szCs w:val="21"/>
              </w:rPr>
            </w:pPr>
            <w:r>
              <w:rPr>
                <w:rFonts w:hint="eastAsia"/>
                <w:color w:val="auto"/>
                <w:sz w:val="21"/>
                <w:szCs w:val="21"/>
              </w:rPr>
              <w:t>申请</w:t>
            </w:r>
          </w:p>
        </w:tc>
        <w:tc>
          <w:tcPr>
            <w:tcW w:w="2395"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color w:val="auto"/>
                <w:sz w:val="21"/>
                <w:szCs w:val="21"/>
              </w:rPr>
            </w:pPr>
            <w:r>
              <w:rPr>
                <w:rFonts w:hint="eastAsia"/>
                <w:color w:val="auto"/>
                <w:sz w:val="21"/>
                <w:szCs w:val="21"/>
              </w:rPr>
              <w:t>开班批次及</w:t>
            </w:r>
          </w:p>
          <w:p>
            <w:pPr>
              <w:spacing w:line="340" w:lineRule="exact"/>
              <w:jc w:val="center"/>
              <w:rPr>
                <w:color w:val="auto"/>
                <w:sz w:val="21"/>
                <w:szCs w:val="21"/>
              </w:rPr>
            </w:pPr>
            <w:r>
              <w:rPr>
                <w:rFonts w:hint="eastAsia"/>
                <w:color w:val="auto"/>
                <w:sz w:val="21"/>
                <w:szCs w:val="21"/>
              </w:rPr>
              <w:t>开班时间</w:t>
            </w:r>
          </w:p>
        </w:tc>
        <w:tc>
          <w:tcPr>
            <w:tcW w:w="2108"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color w:val="auto"/>
                <w:sz w:val="21"/>
                <w:szCs w:val="21"/>
              </w:rPr>
            </w:pPr>
          </w:p>
        </w:tc>
        <w:tc>
          <w:tcPr>
            <w:tcW w:w="1225"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color w:val="auto"/>
                <w:sz w:val="21"/>
                <w:szCs w:val="21"/>
              </w:rPr>
            </w:pPr>
            <w:r>
              <w:rPr>
                <w:rFonts w:hint="eastAsia"/>
                <w:color w:val="auto"/>
                <w:sz w:val="21"/>
                <w:szCs w:val="21"/>
              </w:rPr>
              <w:t>培训工种及级别</w:t>
            </w:r>
          </w:p>
        </w:tc>
        <w:tc>
          <w:tcPr>
            <w:tcW w:w="217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auto"/>
                <w:sz w:val="21"/>
                <w:szCs w:val="21"/>
              </w:rPr>
            </w:pPr>
          </w:p>
        </w:tc>
      </w:tr>
      <w:tr>
        <w:tblPrEx>
          <w:tblCellMar>
            <w:top w:w="0" w:type="dxa"/>
            <w:left w:w="108" w:type="dxa"/>
            <w:bottom w:w="0" w:type="dxa"/>
            <w:right w:w="108" w:type="dxa"/>
          </w:tblCellMar>
        </w:tblPrEx>
        <w:trPr>
          <w:trHeight w:val="140" w:hRule="atLeast"/>
          <w:jc w:val="center"/>
        </w:trPr>
        <w:tc>
          <w:tcPr>
            <w:tcW w:w="1163" w:type="dxa"/>
            <w:vMerge w:val="continue"/>
            <w:tcBorders>
              <w:top w:val="single" w:color="auto" w:sz="4" w:space="0"/>
              <w:left w:val="single" w:color="auto" w:sz="4" w:space="0"/>
              <w:bottom w:val="nil"/>
              <w:right w:val="single" w:color="auto" w:sz="4" w:space="0"/>
            </w:tcBorders>
            <w:vAlign w:val="center"/>
          </w:tcPr>
          <w:p>
            <w:pPr>
              <w:widowControl/>
              <w:jc w:val="left"/>
              <w:rPr>
                <w:color w:val="auto"/>
                <w:sz w:val="21"/>
                <w:szCs w:val="21"/>
              </w:rPr>
            </w:pPr>
          </w:p>
        </w:tc>
        <w:tc>
          <w:tcPr>
            <w:tcW w:w="23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auto"/>
                <w:sz w:val="21"/>
                <w:szCs w:val="21"/>
              </w:rPr>
            </w:pPr>
            <w:r>
              <w:rPr>
                <w:rFonts w:hint="eastAsia"/>
                <w:color w:val="auto"/>
                <w:sz w:val="21"/>
                <w:szCs w:val="21"/>
              </w:rPr>
              <w:t>拟培训人数</w:t>
            </w:r>
          </w:p>
        </w:tc>
        <w:tc>
          <w:tcPr>
            <w:tcW w:w="87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auto"/>
                <w:sz w:val="21"/>
                <w:szCs w:val="21"/>
              </w:rPr>
            </w:pPr>
          </w:p>
        </w:tc>
        <w:tc>
          <w:tcPr>
            <w:tcW w:w="12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auto"/>
                <w:sz w:val="21"/>
                <w:szCs w:val="21"/>
              </w:rPr>
            </w:pPr>
            <w:r>
              <w:rPr>
                <w:rFonts w:hint="eastAsia"/>
                <w:color w:val="auto"/>
                <w:sz w:val="21"/>
                <w:szCs w:val="21"/>
              </w:rPr>
              <w:t>培训时长</w:t>
            </w:r>
          </w:p>
        </w:tc>
        <w:tc>
          <w:tcPr>
            <w:tcW w:w="3401"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auto"/>
                <w:sz w:val="21"/>
                <w:szCs w:val="21"/>
              </w:rPr>
            </w:pPr>
            <w:r>
              <w:rPr>
                <w:color w:val="auto"/>
                <w:sz w:val="21"/>
                <w:szCs w:val="21"/>
              </w:rPr>
              <w:t xml:space="preserve">     </w:t>
            </w:r>
            <w:r>
              <w:rPr>
                <w:rFonts w:hint="eastAsia"/>
                <w:color w:val="auto"/>
                <w:sz w:val="21"/>
                <w:szCs w:val="21"/>
              </w:rPr>
              <w:t>年</w:t>
            </w:r>
            <w:r>
              <w:rPr>
                <w:color w:val="auto"/>
                <w:sz w:val="21"/>
                <w:szCs w:val="21"/>
              </w:rPr>
              <w:t xml:space="preserve">  </w:t>
            </w:r>
            <w:r>
              <w:rPr>
                <w:rFonts w:hint="eastAsia"/>
                <w:color w:val="auto"/>
                <w:sz w:val="21"/>
                <w:szCs w:val="21"/>
              </w:rPr>
              <w:t>月</w:t>
            </w:r>
            <w:r>
              <w:rPr>
                <w:color w:val="auto"/>
                <w:sz w:val="21"/>
                <w:szCs w:val="21"/>
              </w:rPr>
              <w:t xml:space="preserve">  </w:t>
            </w:r>
            <w:r>
              <w:rPr>
                <w:rFonts w:hint="eastAsia"/>
                <w:color w:val="auto"/>
                <w:sz w:val="21"/>
                <w:szCs w:val="21"/>
              </w:rPr>
              <w:t>日至</w:t>
            </w:r>
          </w:p>
          <w:p>
            <w:pPr>
              <w:spacing w:line="400" w:lineRule="exact"/>
              <w:jc w:val="center"/>
              <w:rPr>
                <w:color w:val="auto"/>
                <w:sz w:val="21"/>
                <w:szCs w:val="21"/>
              </w:rPr>
            </w:pPr>
            <w:r>
              <w:rPr>
                <w:color w:val="auto"/>
                <w:sz w:val="21"/>
                <w:szCs w:val="21"/>
              </w:rPr>
              <w:t xml:space="preserve">   </w:t>
            </w:r>
            <w:r>
              <w:rPr>
                <w:rFonts w:hint="eastAsia"/>
                <w:color w:val="auto"/>
                <w:sz w:val="21"/>
                <w:szCs w:val="21"/>
              </w:rPr>
              <w:t>年</w:t>
            </w:r>
            <w:r>
              <w:rPr>
                <w:color w:val="auto"/>
                <w:sz w:val="21"/>
                <w:szCs w:val="21"/>
              </w:rPr>
              <w:t xml:space="preserve">  </w:t>
            </w:r>
            <w:r>
              <w:rPr>
                <w:rFonts w:hint="eastAsia"/>
                <w:color w:val="auto"/>
                <w:sz w:val="21"/>
                <w:szCs w:val="21"/>
              </w:rPr>
              <w:t>月</w:t>
            </w:r>
            <w:r>
              <w:rPr>
                <w:color w:val="auto"/>
                <w:sz w:val="21"/>
                <w:szCs w:val="21"/>
              </w:rPr>
              <w:t xml:space="preserve">  </w:t>
            </w:r>
            <w:r>
              <w:rPr>
                <w:rFonts w:hint="eastAsia"/>
                <w:color w:val="auto"/>
                <w:sz w:val="21"/>
                <w:szCs w:val="21"/>
              </w:rPr>
              <w:t>日，共</w:t>
            </w:r>
            <w:r>
              <w:rPr>
                <w:color w:val="auto"/>
                <w:sz w:val="21"/>
                <w:szCs w:val="21"/>
              </w:rPr>
              <w:t xml:space="preserve">    </w:t>
            </w:r>
            <w:r>
              <w:rPr>
                <w:rFonts w:hint="eastAsia"/>
                <w:color w:val="auto"/>
                <w:sz w:val="21"/>
                <w:szCs w:val="21"/>
              </w:rPr>
              <w:t>课时</w:t>
            </w:r>
          </w:p>
        </w:tc>
      </w:tr>
      <w:tr>
        <w:tblPrEx>
          <w:tblCellMar>
            <w:top w:w="0" w:type="dxa"/>
            <w:left w:w="108" w:type="dxa"/>
            <w:bottom w:w="0" w:type="dxa"/>
            <w:right w:w="108" w:type="dxa"/>
          </w:tblCellMar>
        </w:tblPrEx>
        <w:trPr>
          <w:trHeight w:val="874" w:hRule="atLeast"/>
          <w:jc w:val="center"/>
        </w:trPr>
        <w:tc>
          <w:tcPr>
            <w:tcW w:w="1163" w:type="dxa"/>
            <w:vMerge w:val="continue"/>
            <w:tcBorders>
              <w:top w:val="single" w:color="auto" w:sz="4" w:space="0"/>
              <w:left w:val="single" w:color="auto" w:sz="4" w:space="0"/>
              <w:bottom w:val="nil"/>
              <w:right w:val="single" w:color="auto" w:sz="4" w:space="0"/>
            </w:tcBorders>
            <w:vAlign w:val="center"/>
          </w:tcPr>
          <w:p>
            <w:pPr>
              <w:widowControl/>
              <w:jc w:val="left"/>
              <w:rPr>
                <w:color w:val="auto"/>
                <w:sz w:val="21"/>
                <w:szCs w:val="21"/>
              </w:rPr>
            </w:pPr>
          </w:p>
        </w:tc>
        <w:tc>
          <w:tcPr>
            <w:tcW w:w="23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auto"/>
                <w:sz w:val="21"/>
                <w:szCs w:val="21"/>
              </w:rPr>
            </w:pPr>
            <w:r>
              <w:rPr>
                <w:rFonts w:hint="eastAsia"/>
                <w:color w:val="auto"/>
                <w:sz w:val="21"/>
                <w:szCs w:val="21"/>
              </w:rPr>
              <w:t>拟培训方式（企业自主培训或委托培训等）</w:t>
            </w:r>
          </w:p>
        </w:tc>
        <w:tc>
          <w:tcPr>
            <w:tcW w:w="5509"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auto"/>
                <w:sz w:val="21"/>
                <w:szCs w:val="21"/>
              </w:rPr>
            </w:pPr>
          </w:p>
        </w:tc>
      </w:tr>
      <w:tr>
        <w:tblPrEx>
          <w:tblCellMar>
            <w:top w:w="0" w:type="dxa"/>
            <w:left w:w="108" w:type="dxa"/>
            <w:bottom w:w="0" w:type="dxa"/>
            <w:right w:w="108" w:type="dxa"/>
          </w:tblCellMar>
        </w:tblPrEx>
        <w:trPr>
          <w:trHeight w:val="618" w:hRule="atLeast"/>
          <w:jc w:val="center"/>
        </w:trPr>
        <w:tc>
          <w:tcPr>
            <w:tcW w:w="1163" w:type="dxa"/>
            <w:vMerge w:val="continue"/>
            <w:tcBorders>
              <w:top w:val="single" w:color="auto" w:sz="4" w:space="0"/>
              <w:left w:val="single" w:color="auto" w:sz="4" w:space="0"/>
              <w:bottom w:val="nil"/>
              <w:right w:val="single" w:color="auto" w:sz="4" w:space="0"/>
            </w:tcBorders>
            <w:vAlign w:val="center"/>
          </w:tcPr>
          <w:p>
            <w:pPr>
              <w:widowControl/>
              <w:jc w:val="left"/>
              <w:rPr>
                <w:color w:val="auto"/>
                <w:sz w:val="21"/>
                <w:szCs w:val="21"/>
              </w:rPr>
            </w:pPr>
          </w:p>
        </w:tc>
        <w:tc>
          <w:tcPr>
            <w:tcW w:w="5728"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auto"/>
                <w:sz w:val="21"/>
                <w:szCs w:val="21"/>
              </w:rPr>
            </w:pPr>
            <w:r>
              <w:rPr>
                <w:rFonts w:hint="eastAsia"/>
                <w:color w:val="auto"/>
                <w:sz w:val="21"/>
                <w:szCs w:val="21"/>
              </w:rPr>
              <w:t>培训计划及人员名册是否在职业培训信息化管理系统填报</w:t>
            </w:r>
          </w:p>
        </w:tc>
        <w:tc>
          <w:tcPr>
            <w:tcW w:w="217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auto"/>
                <w:sz w:val="21"/>
                <w:szCs w:val="21"/>
              </w:rPr>
            </w:pPr>
          </w:p>
        </w:tc>
      </w:tr>
      <w:tr>
        <w:tblPrEx>
          <w:tblCellMar>
            <w:top w:w="0" w:type="dxa"/>
            <w:left w:w="108" w:type="dxa"/>
            <w:bottom w:w="0" w:type="dxa"/>
            <w:right w:w="108" w:type="dxa"/>
          </w:tblCellMar>
        </w:tblPrEx>
        <w:trPr>
          <w:trHeight w:val="799" w:hRule="atLeast"/>
          <w:jc w:val="center"/>
        </w:trPr>
        <w:tc>
          <w:tcPr>
            <w:tcW w:w="1163" w:type="dxa"/>
            <w:vMerge w:val="continue"/>
            <w:tcBorders>
              <w:top w:val="single" w:color="auto" w:sz="4" w:space="0"/>
              <w:left w:val="single" w:color="auto" w:sz="4" w:space="0"/>
              <w:bottom w:val="nil"/>
              <w:right w:val="single" w:color="auto" w:sz="4" w:space="0"/>
            </w:tcBorders>
            <w:vAlign w:val="center"/>
          </w:tcPr>
          <w:p>
            <w:pPr>
              <w:widowControl/>
              <w:jc w:val="left"/>
              <w:rPr>
                <w:color w:val="auto"/>
                <w:sz w:val="21"/>
                <w:szCs w:val="21"/>
              </w:rPr>
            </w:pPr>
          </w:p>
        </w:tc>
        <w:tc>
          <w:tcPr>
            <w:tcW w:w="23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auto"/>
                <w:sz w:val="21"/>
                <w:szCs w:val="21"/>
              </w:rPr>
            </w:pPr>
            <w:r>
              <w:rPr>
                <w:rFonts w:hint="eastAsia"/>
                <w:color w:val="auto"/>
                <w:sz w:val="21"/>
                <w:szCs w:val="21"/>
              </w:rPr>
              <w:t>行业主管部门审核意见</w:t>
            </w:r>
          </w:p>
        </w:tc>
        <w:tc>
          <w:tcPr>
            <w:tcW w:w="5509"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rPr>
                <w:color w:val="auto"/>
                <w:sz w:val="21"/>
                <w:szCs w:val="21"/>
              </w:rPr>
            </w:pPr>
          </w:p>
          <w:p>
            <w:pPr>
              <w:spacing w:line="400" w:lineRule="exact"/>
              <w:rPr>
                <w:color w:val="auto"/>
                <w:sz w:val="21"/>
                <w:szCs w:val="21"/>
              </w:rPr>
            </w:pPr>
            <w:r>
              <w:rPr>
                <w:rFonts w:hint="eastAsia"/>
                <w:color w:val="auto"/>
                <w:sz w:val="21"/>
                <w:szCs w:val="21"/>
              </w:rPr>
              <w:t>初审人：</w:t>
            </w:r>
            <w:r>
              <w:rPr>
                <w:color w:val="auto"/>
                <w:sz w:val="21"/>
                <w:szCs w:val="21"/>
              </w:rPr>
              <w:t xml:space="preserve">          </w:t>
            </w:r>
            <w:r>
              <w:rPr>
                <w:rFonts w:hint="eastAsia"/>
                <w:color w:val="auto"/>
                <w:sz w:val="21"/>
                <w:szCs w:val="21"/>
              </w:rPr>
              <w:t>复核人：</w:t>
            </w:r>
            <w:r>
              <w:rPr>
                <w:color w:val="auto"/>
                <w:sz w:val="21"/>
                <w:szCs w:val="21"/>
              </w:rPr>
              <w:t xml:space="preserve">      </w:t>
            </w:r>
            <w:r>
              <w:rPr>
                <w:rFonts w:hint="eastAsia"/>
                <w:color w:val="auto"/>
                <w:sz w:val="21"/>
                <w:szCs w:val="21"/>
              </w:rPr>
              <w:t>盖章</w:t>
            </w:r>
            <w:r>
              <w:rPr>
                <w:color w:val="auto"/>
                <w:sz w:val="21"/>
                <w:szCs w:val="21"/>
              </w:rPr>
              <w:t xml:space="preserve">     </w:t>
            </w:r>
            <w:r>
              <w:rPr>
                <w:rFonts w:hint="eastAsia"/>
                <w:color w:val="auto"/>
                <w:sz w:val="21"/>
                <w:szCs w:val="21"/>
              </w:rPr>
              <w:t>年</w:t>
            </w:r>
            <w:r>
              <w:rPr>
                <w:color w:val="auto"/>
                <w:sz w:val="21"/>
                <w:szCs w:val="21"/>
              </w:rPr>
              <w:t xml:space="preserve">  </w:t>
            </w:r>
            <w:r>
              <w:rPr>
                <w:rFonts w:hint="eastAsia"/>
                <w:color w:val="auto"/>
                <w:sz w:val="21"/>
                <w:szCs w:val="21"/>
              </w:rPr>
              <w:t>月</w:t>
            </w:r>
            <w:r>
              <w:rPr>
                <w:color w:val="auto"/>
                <w:sz w:val="21"/>
                <w:szCs w:val="21"/>
              </w:rPr>
              <w:t xml:space="preserve">  </w:t>
            </w:r>
            <w:r>
              <w:rPr>
                <w:rFonts w:hint="eastAsia"/>
                <w:color w:val="auto"/>
                <w:sz w:val="21"/>
                <w:szCs w:val="21"/>
              </w:rPr>
              <w:t>日</w:t>
            </w:r>
          </w:p>
        </w:tc>
      </w:tr>
      <w:tr>
        <w:tblPrEx>
          <w:tblCellMar>
            <w:top w:w="0" w:type="dxa"/>
            <w:left w:w="108" w:type="dxa"/>
            <w:bottom w:w="0" w:type="dxa"/>
            <w:right w:w="108" w:type="dxa"/>
          </w:tblCellMar>
        </w:tblPrEx>
        <w:trPr>
          <w:trHeight w:val="838" w:hRule="atLeast"/>
          <w:jc w:val="center"/>
        </w:trPr>
        <w:tc>
          <w:tcPr>
            <w:tcW w:w="1163" w:type="dxa"/>
            <w:vMerge w:val="continue"/>
            <w:tcBorders>
              <w:top w:val="single" w:color="auto" w:sz="4" w:space="0"/>
              <w:left w:val="single" w:color="auto" w:sz="4" w:space="0"/>
              <w:bottom w:val="nil"/>
              <w:right w:val="single" w:color="auto" w:sz="4" w:space="0"/>
            </w:tcBorders>
            <w:vAlign w:val="center"/>
          </w:tcPr>
          <w:p>
            <w:pPr>
              <w:widowControl/>
              <w:jc w:val="left"/>
              <w:rPr>
                <w:color w:val="auto"/>
                <w:sz w:val="21"/>
                <w:szCs w:val="21"/>
              </w:rPr>
            </w:pPr>
          </w:p>
        </w:tc>
        <w:tc>
          <w:tcPr>
            <w:tcW w:w="23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auto"/>
                <w:sz w:val="21"/>
                <w:szCs w:val="21"/>
              </w:rPr>
            </w:pPr>
            <w:r>
              <w:rPr>
                <w:rFonts w:hint="eastAsia"/>
                <w:color w:val="auto"/>
                <w:sz w:val="21"/>
                <w:szCs w:val="21"/>
              </w:rPr>
              <w:t>人力资源社会保障部门审核意见</w:t>
            </w:r>
          </w:p>
        </w:tc>
        <w:tc>
          <w:tcPr>
            <w:tcW w:w="5509"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rPr>
                <w:color w:val="auto"/>
                <w:sz w:val="21"/>
                <w:szCs w:val="21"/>
              </w:rPr>
            </w:pPr>
            <w:r>
              <w:rPr>
                <w:color w:val="auto"/>
                <w:sz w:val="21"/>
                <w:szCs w:val="21"/>
              </w:rPr>
              <w:t xml:space="preserve"> </w:t>
            </w:r>
          </w:p>
          <w:p>
            <w:pPr>
              <w:spacing w:line="400" w:lineRule="exact"/>
              <w:rPr>
                <w:color w:val="auto"/>
                <w:sz w:val="21"/>
                <w:szCs w:val="21"/>
              </w:rPr>
            </w:pPr>
            <w:r>
              <w:rPr>
                <w:rFonts w:hint="eastAsia"/>
                <w:color w:val="auto"/>
                <w:sz w:val="21"/>
                <w:szCs w:val="21"/>
              </w:rPr>
              <w:t>初审人：</w:t>
            </w:r>
            <w:r>
              <w:rPr>
                <w:color w:val="auto"/>
                <w:sz w:val="21"/>
                <w:szCs w:val="21"/>
              </w:rPr>
              <w:t xml:space="preserve">          </w:t>
            </w:r>
            <w:r>
              <w:rPr>
                <w:rFonts w:hint="eastAsia"/>
                <w:color w:val="auto"/>
                <w:sz w:val="21"/>
                <w:szCs w:val="21"/>
              </w:rPr>
              <w:t>复核人：</w:t>
            </w:r>
            <w:r>
              <w:rPr>
                <w:color w:val="auto"/>
                <w:sz w:val="21"/>
                <w:szCs w:val="21"/>
              </w:rPr>
              <w:t xml:space="preserve">      </w:t>
            </w:r>
            <w:r>
              <w:rPr>
                <w:rFonts w:hint="eastAsia"/>
                <w:color w:val="auto"/>
                <w:sz w:val="21"/>
                <w:szCs w:val="21"/>
              </w:rPr>
              <w:t>盖章</w:t>
            </w:r>
            <w:r>
              <w:rPr>
                <w:color w:val="auto"/>
                <w:sz w:val="21"/>
                <w:szCs w:val="21"/>
              </w:rPr>
              <w:t xml:space="preserve">     </w:t>
            </w:r>
            <w:r>
              <w:rPr>
                <w:rFonts w:hint="eastAsia"/>
                <w:color w:val="auto"/>
                <w:sz w:val="21"/>
                <w:szCs w:val="21"/>
              </w:rPr>
              <w:t>年</w:t>
            </w:r>
            <w:r>
              <w:rPr>
                <w:color w:val="auto"/>
                <w:sz w:val="21"/>
                <w:szCs w:val="21"/>
              </w:rPr>
              <w:t xml:space="preserve">  </w:t>
            </w:r>
            <w:r>
              <w:rPr>
                <w:rFonts w:hint="eastAsia"/>
                <w:color w:val="auto"/>
                <w:sz w:val="21"/>
                <w:szCs w:val="21"/>
              </w:rPr>
              <w:t>月</w:t>
            </w:r>
            <w:r>
              <w:rPr>
                <w:color w:val="auto"/>
                <w:sz w:val="21"/>
                <w:szCs w:val="21"/>
              </w:rPr>
              <w:t xml:space="preserve">  </w:t>
            </w:r>
            <w:r>
              <w:rPr>
                <w:rFonts w:hint="eastAsia"/>
                <w:color w:val="auto"/>
                <w:sz w:val="21"/>
                <w:szCs w:val="21"/>
              </w:rPr>
              <w:t>日</w:t>
            </w:r>
          </w:p>
        </w:tc>
      </w:tr>
      <w:tr>
        <w:tblPrEx>
          <w:tblCellMar>
            <w:top w:w="0" w:type="dxa"/>
            <w:left w:w="108" w:type="dxa"/>
            <w:bottom w:w="0" w:type="dxa"/>
            <w:right w:w="108" w:type="dxa"/>
          </w:tblCellMar>
        </w:tblPrEx>
        <w:trPr>
          <w:trHeight w:val="1174" w:hRule="atLeast"/>
          <w:jc w:val="center"/>
        </w:trPr>
        <w:tc>
          <w:tcPr>
            <w:tcW w:w="1163"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auto"/>
                <w:sz w:val="21"/>
                <w:szCs w:val="21"/>
              </w:rPr>
            </w:pPr>
            <w:r>
              <w:rPr>
                <w:rFonts w:hint="eastAsia"/>
                <w:color w:val="auto"/>
                <w:sz w:val="21"/>
                <w:szCs w:val="21"/>
              </w:rPr>
              <w:t>过程</w:t>
            </w:r>
          </w:p>
          <w:p>
            <w:pPr>
              <w:spacing w:line="400" w:lineRule="exact"/>
              <w:jc w:val="center"/>
              <w:rPr>
                <w:color w:val="auto"/>
                <w:sz w:val="21"/>
                <w:szCs w:val="21"/>
              </w:rPr>
            </w:pPr>
            <w:r>
              <w:rPr>
                <w:rFonts w:hint="eastAsia"/>
                <w:color w:val="auto"/>
                <w:sz w:val="21"/>
                <w:szCs w:val="21"/>
              </w:rPr>
              <w:t>监管</w:t>
            </w:r>
          </w:p>
        </w:tc>
        <w:tc>
          <w:tcPr>
            <w:tcW w:w="2395"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color w:val="auto"/>
                <w:sz w:val="21"/>
                <w:szCs w:val="21"/>
              </w:rPr>
            </w:pPr>
            <w:r>
              <w:rPr>
                <w:rFonts w:hint="eastAsia"/>
                <w:color w:val="auto"/>
                <w:sz w:val="21"/>
                <w:szCs w:val="21"/>
              </w:rPr>
              <w:t>开班当日</w:t>
            </w:r>
          </w:p>
          <w:p>
            <w:pPr>
              <w:spacing w:line="340" w:lineRule="exact"/>
              <w:jc w:val="center"/>
              <w:rPr>
                <w:color w:val="auto"/>
                <w:sz w:val="21"/>
                <w:szCs w:val="21"/>
              </w:rPr>
            </w:pPr>
            <w:r>
              <w:rPr>
                <w:rFonts w:hint="eastAsia"/>
                <w:color w:val="auto"/>
                <w:sz w:val="21"/>
                <w:szCs w:val="21"/>
              </w:rPr>
              <w:t>检查情况</w:t>
            </w:r>
          </w:p>
        </w:tc>
        <w:tc>
          <w:tcPr>
            <w:tcW w:w="2958"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left"/>
              <w:rPr>
                <w:color w:val="auto"/>
                <w:sz w:val="21"/>
                <w:szCs w:val="21"/>
              </w:rPr>
            </w:pPr>
            <w:r>
              <w:rPr>
                <w:rFonts w:hint="eastAsia"/>
                <w:color w:val="auto"/>
                <w:sz w:val="21"/>
                <w:szCs w:val="21"/>
              </w:rPr>
              <w:t>学员人数</w:t>
            </w:r>
            <w:r>
              <w:rPr>
                <w:color w:val="auto"/>
                <w:sz w:val="21"/>
                <w:szCs w:val="21"/>
              </w:rPr>
              <w:t>:</w:t>
            </w:r>
          </w:p>
          <w:p>
            <w:pPr>
              <w:spacing w:line="340" w:lineRule="exact"/>
              <w:rPr>
                <w:color w:val="auto"/>
                <w:sz w:val="21"/>
                <w:szCs w:val="21"/>
              </w:rPr>
            </w:pPr>
            <w:r>
              <w:rPr>
                <w:rFonts w:hint="eastAsia"/>
                <w:color w:val="auto"/>
                <w:sz w:val="21"/>
                <w:szCs w:val="21"/>
              </w:rPr>
              <w:t>签到情况</w:t>
            </w:r>
          </w:p>
          <w:p>
            <w:pPr>
              <w:spacing w:line="340" w:lineRule="exact"/>
              <w:rPr>
                <w:color w:val="auto"/>
                <w:sz w:val="21"/>
                <w:szCs w:val="21"/>
              </w:rPr>
            </w:pPr>
            <w:r>
              <w:rPr>
                <w:rFonts w:hint="eastAsia"/>
                <w:color w:val="auto"/>
                <w:sz w:val="21"/>
                <w:szCs w:val="21"/>
              </w:rPr>
              <w:t>培训资料留存情况</w:t>
            </w:r>
            <w:r>
              <w:rPr>
                <w:color w:val="auto"/>
                <w:sz w:val="21"/>
                <w:szCs w:val="21"/>
              </w:rPr>
              <w:t>:</w:t>
            </w:r>
          </w:p>
        </w:tc>
        <w:tc>
          <w:tcPr>
            <w:tcW w:w="990"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color w:val="auto"/>
                <w:sz w:val="21"/>
                <w:szCs w:val="21"/>
              </w:rPr>
            </w:pPr>
            <w:r>
              <w:rPr>
                <w:rFonts w:hint="eastAsia"/>
                <w:color w:val="auto"/>
                <w:sz w:val="21"/>
                <w:szCs w:val="21"/>
              </w:rPr>
              <w:t>检查人员签字</w:t>
            </w:r>
          </w:p>
        </w:tc>
        <w:tc>
          <w:tcPr>
            <w:tcW w:w="156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color w:val="auto"/>
                <w:sz w:val="21"/>
                <w:szCs w:val="21"/>
              </w:rPr>
            </w:pPr>
          </w:p>
        </w:tc>
      </w:tr>
      <w:tr>
        <w:tblPrEx>
          <w:tblCellMar>
            <w:top w:w="0" w:type="dxa"/>
            <w:left w:w="108" w:type="dxa"/>
            <w:bottom w:w="0" w:type="dxa"/>
            <w:right w:w="108" w:type="dxa"/>
          </w:tblCellMar>
        </w:tblPrEx>
        <w:trPr>
          <w:trHeight w:val="1366" w:hRule="atLeast"/>
          <w:jc w:val="center"/>
        </w:trPr>
        <w:tc>
          <w:tcPr>
            <w:tcW w:w="11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21"/>
                <w:szCs w:val="21"/>
              </w:rPr>
            </w:pPr>
          </w:p>
        </w:tc>
        <w:tc>
          <w:tcPr>
            <w:tcW w:w="2395" w:type="dxa"/>
            <w:vMerge w:val="restart"/>
            <w:tcBorders>
              <w:top w:val="single" w:color="auto" w:sz="4" w:space="0"/>
              <w:left w:val="single" w:color="auto" w:sz="4" w:space="0"/>
              <w:bottom w:val="single" w:color="auto" w:sz="4" w:space="0"/>
              <w:right w:val="single" w:color="auto" w:sz="4" w:space="0"/>
            </w:tcBorders>
            <w:vAlign w:val="center"/>
          </w:tcPr>
          <w:p>
            <w:pPr>
              <w:spacing w:line="340" w:lineRule="exact"/>
              <w:jc w:val="center"/>
              <w:rPr>
                <w:color w:val="auto"/>
                <w:sz w:val="21"/>
                <w:szCs w:val="21"/>
              </w:rPr>
            </w:pPr>
            <w:r>
              <w:rPr>
                <w:rFonts w:hint="eastAsia"/>
                <w:color w:val="auto"/>
                <w:sz w:val="21"/>
                <w:szCs w:val="21"/>
              </w:rPr>
              <w:t>培训期间</w:t>
            </w:r>
          </w:p>
          <w:p>
            <w:pPr>
              <w:spacing w:line="340" w:lineRule="exact"/>
              <w:jc w:val="center"/>
              <w:rPr>
                <w:color w:val="auto"/>
                <w:sz w:val="21"/>
                <w:szCs w:val="21"/>
              </w:rPr>
            </w:pPr>
            <w:r>
              <w:rPr>
                <w:rFonts w:hint="eastAsia"/>
                <w:color w:val="auto"/>
                <w:sz w:val="21"/>
                <w:szCs w:val="21"/>
              </w:rPr>
              <w:t>检查情况</w:t>
            </w:r>
          </w:p>
        </w:tc>
        <w:tc>
          <w:tcPr>
            <w:tcW w:w="2958"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rPr>
                <w:color w:val="auto"/>
                <w:sz w:val="21"/>
                <w:szCs w:val="21"/>
              </w:rPr>
            </w:pPr>
            <w:r>
              <w:rPr>
                <w:rFonts w:hint="eastAsia"/>
                <w:color w:val="auto"/>
                <w:sz w:val="21"/>
                <w:szCs w:val="21"/>
              </w:rPr>
              <w:t>时间：</w:t>
            </w:r>
            <w:r>
              <w:rPr>
                <w:color w:val="auto"/>
                <w:sz w:val="21"/>
                <w:szCs w:val="21"/>
              </w:rPr>
              <w:t xml:space="preserve">        </w:t>
            </w:r>
            <w:r>
              <w:rPr>
                <w:rFonts w:hint="eastAsia"/>
                <w:color w:val="auto"/>
                <w:sz w:val="21"/>
                <w:szCs w:val="21"/>
              </w:rPr>
              <w:t>年</w:t>
            </w:r>
            <w:r>
              <w:rPr>
                <w:color w:val="auto"/>
                <w:sz w:val="21"/>
                <w:szCs w:val="21"/>
              </w:rPr>
              <w:t xml:space="preserve">  </w:t>
            </w:r>
            <w:r>
              <w:rPr>
                <w:rFonts w:hint="eastAsia"/>
                <w:color w:val="auto"/>
                <w:sz w:val="21"/>
                <w:szCs w:val="21"/>
              </w:rPr>
              <w:t>月</w:t>
            </w:r>
            <w:r>
              <w:rPr>
                <w:color w:val="auto"/>
                <w:sz w:val="21"/>
                <w:szCs w:val="21"/>
              </w:rPr>
              <w:t xml:space="preserve">  </w:t>
            </w:r>
            <w:r>
              <w:rPr>
                <w:rFonts w:hint="eastAsia"/>
                <w:color w:val="auto"/>
                <w:sz w:val="21"/>
                <w:szCs w:val="21"/>
              </w:rPr>
              <w:t>日</w:t>
            </w:r>
          </w:p>
          <w:p>
            <w:pPr>
              <w:spacing w:line="340" w:lineRule="exact"/>
              <w:rPr>
                <w:color w:val="auto"/>
                <w:sz w:val="21"/>
                <w:szCs w:val="21"/>
              </w:rPr>
            </w:pPr>
            <w:r>
              <w:rPr>
                <w:rFonts w:hint="eastAsia"/>
                <w:color w:val="auto"/>
                <w:sz w:val="21"/>
                <w:szCs w:val="21"/>
              </w:rPr>
              <w:t>地点：</w:t>
            </w:r>
          </w:p>
          <w:p>
            <w:pPr>
              <w:spacing w:line="340" w:lineRule="exact"/>
              <w:rPr>
                <w:color w:val="auto"/>
                <w:sz w:val="21"/>
                <w:szCs w:val="21"/>
              </w:rPr>
            </w:pPr>
            <w:r>
              <w:rPr>
                <w:rFonts w:hint="eastAsia"/>
                <w:color w:val="auto"/>
                <w:sz w:val="21"/>
                <w:szCs w:val="21"/>
              </w:rPr>
              <w:t>师资情况：</w:t>
            </w:r>
          </w:p>
          <w:p>
            <w:pPr>
              <w:spacing w:line="340" w:lineRule="exact"/>
              <w:rPr>
                <w:color w:val="auto"/>
                <w:sz w:val="21"/>
                <w:szCs w:val="21"/>
              </w:rPr>
            </w:pPr>
            <w:r>
              <w:rPr>
                <w:rFonts w:hint="eastAsia"/>
                <w:color w:val="auto"/>
                <w:sz w:val="21"/>
                <w:szCs w:val="21"/>
              </w:rPr>
              <w:t>学员出勤情况：</w:t>
            </w:r>
          </w:p>
        </w:tc>
        <w:tc>
          <w:tcPr>
            <w:tcW w:w="990"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color w:val="auto"/>
                <w:sz w:val="21"/>
                <w:szCs w:val="21"/>
              </w:rPr>
            </w:pPr>
            <w:r>
              <w:rPr>
                <w:rFonts w:hint="eastAsia"/>
                <w:color w:val="auto"/>
                <w:sz w:val="21"/>
                <w:szCs w:val="21"/>
              </w:rPr>
              <w:t>检查人员签字</w:t>
            </w:r>
          </w:p>
        </w:tc>
        <w:tc>
          <w:tcPr>
            <w:tcW w:w="156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color w:val="auto"/>
                <w:sz w:val="21"/>
                <w:szCs w:val="21"/>
              </w:rPr>
            </w:pPr>
          </w:p>
        </w:tc>
      </w:tr>
      <w:tr>
        <w:tblPrEx>
          <w:tblCellMar>
            <w:top w:w="0" w:type="dxa"/>
            <w:left w:w="108" w:type="dxa"/>
            <w:bottom w:w="0" w:type="dxa"/>
            <w:right w:w="108" w:type="dxa"/>
          </w:tblCellMar>
        </w:tblPrEx>
        <w:trPr>
          <w:trHeight w:val="810" w:hRule="atLeast"/>
          <w:jc w:val="center"/>
        </w:trPr>
        <w:tc>
          <w:tcPr>
            <w:tcW w:w="11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21"/>
                <w:szCs w:val="21"/>
              </w:rPr>
            </w:pPr>
          </w:p>
        </w:tc>
        <w:tc>
          <w:tcPr>
            <w:tcW w:w="57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21"/>
                <w:szCs w:val="21"/>
              </w:rPr>
            </w:pPr>
          </w:p>
        </w:tc>
        <w:tc>
          <w:tcPr>
            <w:tcW w:w="2958"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rPr>
                <w:color w:val="auto"/>
                <w:sz w:val="21"/>
                <w:szCs w:val="21"/>
              </w:rPr>
            </w:pPr>
            <w:r>
              <w:rPr>
                <w:rFonts w:hint="eastAsia"/>
                <w:color w:val="auto"/>
                <w:sz w:val="21"/>
                <w:szCs w:val="21"/>
              </w:rPr>
              <w:t>时间：</w:t>
            </w:r>
            <w:r>
              <w:rPr>
                <w:color w:val="auto"/>
                <w:sz w:val="21"/>
                <w:szCs w:val="21"/>
              </w:rPr>
              <w:t xml:space="preserve">       </w:t>
            </w:r>
            <w:r>
              <w:rPr>
                <w:rFonts w:hint="eastAsia"/>
                <w:color w:val="auto"/>
                <w:sz w:val="21"/>
                <w:szCs w:val="21"/>
              </w:rPr>
              <w:t>年</w:t>
            </w:r>
            <w:r>
              <w:rPr>
                <w:color w:val="auto"/>
                <w:sz w:val="21"/>
                <w:szCs w:val="21"/>
              </w:rPr>
              <w:t xml:space="preserve">  </w:t>
            </w:r>
            <w:r>
              <w:rPr>
                <w:rFonts w:hint="eastAsia"/>
                <w:color w:val="auto"/>
                <w:sz w:val="21"/>
                <w:szCs w:val="21"/>
              </w:rPr>
              <w:t>月</w:t>
            </w:r>
            <w:r>
              <w:rPr>
                <w:color w:val="auto"/>
                <w:sz w:val="21"/>
                <w:szCs w:val="21"/>
              </w:rPr>
              <w:t xml:space="preserve">  </w:t>
            </w:r>
            <w:r>
              <w:rPr>
                <w:rFonts w:hint="eastAsia"/>
                <w:color w:val="auto"/>
                <w:sz w:val="21"/>
                <w:szCs w:val="21"/>
              </w:rPr>
              <w:t>日</w:t>
            </w:r>
          </w:p>
          <w:p>
            <w:pPr>
              <w:spacing w:line="340" w:lineRule="exact"/>
              <w:rPr>
                <w:color w:val="auto"/>
                <w:sz w:val="21"/>
                <w:szCs w:val="21"/>
              </w:rPr>
            </w:pPr>
            <w:r>
              <w:rPr>
                <w:rFonts w:hint="eastAsia"/>
                <w:color w:val="auto"/>
                <w:sz w:val="21"/>
                <w:szCs w:val="21"/>
              </w:rPr>
              <w:t>地点：</w:t>
            </w:r>
          </w:p>
          <w:p>
            <w:pPr>
              <w:spacing w:line="340" w:lineRule="exact"/>
              <w:rPr>
                <w:color w:val="auto"/>
                <w:sz w:val="21"/>
                <w:szCs w:val="21"/>
              </w:rPr>
            </w:pPr>
            <w:r>
              <w:rPr>
                <w:rFonts w:hint="eastAsia"/>
                <w:color w:val="auto"/>
                <w:sz w:val="21"/>
                <w:szCs w:val="21"/>
              </w:rPr>
              <w:t>师资情况：</w:t>
            </w:r>
          </w:p>
          <w:p>
            <w:pPr>
              <w:spacing w:line="340" w:lineRule="exact"/>
              <w:rPr>
                <w:color w:val="auto"/>
                <w:sz w:val="21"/>
                <w:szCs w:val="21"/>
              </w:rPr>
            </w:pPr>
            <w:r>
              <w:rPr>
                <w:rFonts w:hint="eastAsia"/>
                <w:color w:val="auto"/>
                <w:sz w:val="21"/>
                <w:szCs w:val="21"/>
              </w:rPr>
              <w:t>学员出勤情况：</w:t>
            </w:r>
          </w:p>
        </w:tc>
        <w:tc>
          <w:tcPr>
            <w:tcW w:w="990"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color w:val="auto"/>
                <w:sz w:val="21"/>
                <w:szCs w:val="21"/>
              </w:rPr>
            </w:pPr>
            <w:r>
              <w:rPr>
                <w:rFonts w:hint="eastAsia"/>
                <w:color w:val="auto"/>
                <w:sz w:val="21"/>
                <w:szCs w:val="21"/>
              </w:rPr>
              <w:t>检查人员签字</w:t>
            </w:r>
          </w:p>
        </w:tc>
        <w:tc>
          <w:tcPr>
            <w:tcW w:w="156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color w:val="auto"/>
                <w:sz w:val="21"/>
                <w:szCs w:val="21"/>
              </w:rPr>
            </w:pPr>
          </w:p>
        </w:tc>
      </w:tr>
      <w:tr>
        <w:tblPrEx>
          <w:tblCellMar>
            <w:top w:w="0" w:type="dxa"/>
            <w:left w:w="108" w:type="dxa"/>
            <w:bottom w:w="0" w:type="dxa"/>
            <w:right w:w="108" w:type="dxa"/>
          </w:tblCellMar>
        </w:tblPrEx>
        <w:trPr>
          <w:trHeight w:val="862" w:hRule="atLeast"/>
          <w:jc w:val="center"/>
        </w:trPr>
        <w:tc>
          <w:tcPr>
            <w:tcW w:w="11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21"/>
                <w:szCs w:val="21"/>
              </w:rPr>
            </w:pPr>
          </w:p>
        </w:tc>
        <w:tc>
          <w:tcPr>
            <w:tcW w:w="2395"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color w:val="auto"/>
                <w:sz w:val="21"/>
                <w:szCs w:val="21"/>
              </w:rPr>
            </w:pPr>
            <w:r>
              <w:rPr>
                <w:rFonts w:hint="eastAsia"/>
                <w:color w:val="auto"/>
                <w:sz w:val="21"/>
                <w:szCs w:val="21"/>
              </w:rPr>
              <w:t>检查情况是否在职业培训信息化管理系统填报</w:t>
            </w:r>
          </w:p>
        </w:tc>
        <w:tc>
          <w:tcPr>
            <w:tcW w:w="2958"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center"/>
              <w:rPr>
                <w:color w:val="auto"/>
                <w:sz w:val="21"/>
                <w:szCs w:val="21"/>
              </w:rPr>
            </w:pPr>
          </w:p>
        </w:tc>
        <w:tc>
          <w:tcPr>
            <w:tcW w:w="990"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color w:val="auto"/>
                <w:sz w:val="21"/>
                <w:szCs w:val="21"/>
              </w:rPr>
            </w:pPr>
            <w:r>
              <w:rPr>
                <w:rFonts w:hint="eastAsia"/>
                <w:color w:val="auto"/>
                <w:sz w:val="21"/>
                <w:szCs w:val="21"/>
              </w:rPr>
              <w:t>平均出勤人数</w:t>
            </w:r>
          </w:p>
        </w:tc>
        <w:tc>
          <w:tcPr>
            <w:tcW w:w="156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color w:val="auto"/>
                <w:sz w:val="21"/>
                <w:szCs w:val="21"/>
              </w:rPr>
            </w:pPr>
          </w:p>
        </w:tc>
      </w:tr>
      <w:tr>
        <w:tblPrEx>
          <w:tblCellMar>
            <w:top w:w="0" w:type="dxa"/>
            <w:left w:w="108" w:type="dxa"/>
            <w:bottom w:w="0" w:type="dxa"/>
            <w:right w:w="108" w:type="dxa"/>
          </w:tblCellMar>
        </w:tblPrEx>
        <w:trPr>
          <w:trHeight w:val="1337" w:hRule="atLeast"/>
          <w:jc w:val="center"/>
        </w:trPr>
        <w:tc>
          <w:tcPr>
            <w:tcW w:w="11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21"/>
                <w:szCs w:val="21"/>
              </w:rPr>
            </w:pPr>
          </w:p>
        </w:tc>
        <w:tc>
          <w:tcPr>
            <w:tcW w:w="2395"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color w:val="auto"/>
                <w:sz w:val="21"/>
                <w:szCs w:val="21"/>
              </w:rPr>
            </w:pPr>
            <w:r>
              <w:rPr>
                <w:rFonts w:hint="eastAsia"/>
                <w:color w:val="auto"/>
                <w:sz w:val="21"/>
                <w:szCs w:val="21"/>
              </w:rPr>
              <w:t>人力资源社会保障部门检查意见</w:t>
            </w:r>
          </w:p>
        </w:tc>
        <w:tc>
          <w:tcPr>
            <w:tcW w:w="5509" w:type="dxa"/>
            <w:gridSpan w:val="6"/>
            <w:tcBorders>
              <w:top w:val="single" w:color="auto" w:sz="4" w:space="0"/>
              <w:left w:val="single" w:color="auto" w:sz="4" w:space="0"/>
              <w:bottom w:val="single" w:color="auto" w:sz="4" w:space="0"/>
              <w:right w:val="single" w:color="auto" w:sz="4" w:space="0"/>
            </w:tcBorders>
            <w:vAlign w:val="center"/>
          </w:tcPr>
          <w:p>
            <w:pPr>
              <w:spacing w:line="340" w:lineRule="exact"/>
              <w:jc w:val="center"/>
              <w:rPr>
                <w:color w:val="auto"/>
                <w:sz w:val="21"/>
                <w:szCs w:val="21"/>
              </w:rPr>
            </w:pPr>
          </w:p>
        </w:tc>
      </w:tr>
    </w:tbl>
    <w:p>
      <w:pPr>
        <w:spacing w:line="400" w:lineRule="exact"/>
        <w:rPr>
          <w:color w:val="auto"/>
          <w:sz w:val="21"/>
          <w:szCs w:val="22"/>
        </w:rPr>
      </w:pPr>
    </w:p>
    <w:tbl>
      <w:tblPr>
        <w:tblStyle w:val="8"/>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0"/>
        <w:gridCol w:w="367"/>
        <w:gridCol w:w="2025"/>
        <w:gridCol w:w="732"/>
        <w:gridCol w:w="923"/>
        <w:gridCol w:w="820"/>
        <w:gridCol w:w="1168"/>
        <w:gridCol w:w="405"/>
        <w:gridCol w:w="1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7" w:hRule="atLeast"/>
          <w:jc w:val="center"/>
        </w:trPr>
        <w:tc>
          <w:tcPr>
            <w:tcW w:w="1161"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auto"/>
                <w:sz w:val="21"/>
                <w:szCs w:val="21"/>
              </w:rPr>
            </w:pPr>
            <w:r>
              <w:rPr>
                <w:rFonts w:hint="eastAsia"/>
                <w:color w:val="auto"/>
                <w:sz w:val="21"/>
                <w:szCs w:val="21"/>
              </w:rPr>
              <w:t>结业</w:t>
            </w:r>
          </w:p>
          <w:p>
            <w:pPr>
              <w:spacing w:line="400" w:lineRule="exact"/>
              <w:jc w:val="center"/>
              <w:rPr>
                <w:color w:val="auto"/>
                <w:sz w:val="21"/>
                <w:szCs w:val="21"/>
              </w:rPr>
            </w:pPr>
            <w:r>
              <w:rPr>
                <w:rFonts w:hint="eastAsia"/>
                <w:color w:val="auto"/>
                <w:sz w:val="21"/>
                <w:szCs w:val="21"/>
              </w:rPr>
              <w:t>考核</w:t>
            </w:r>
          </w:p>
        </w:tc>
        <w:tc>
          <w:tcPr>
            <w:tcW w:w="3126"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auto"/>
                <w:sz w:val="21"/>
                <w:szCs w:val="21"/>
              </w:rPr>
            </w:pPr>
            <w:r>
              <w:rPr>
                <w:rFonts w:hint="eastAsia"/>
                <w:color w:val="auto"/>
                <w:sz w:val="21"/>
                <w:szCs w:val="21"/>
              </w:rPr>
              <w:t>组织考核（评价、鉴定）时间</w:t>
            </w:r>
          </w:p>
          <w:p>
            <w:pPr>
              <w:spacing w:line="300" w:lineRule="exact"/>
              <w:jc w:val="center"/>
              <w:rPr>
                <w:color w:val="auto"/>
                <w:sz w:val="21"/>
                <w:szCs w:val="21"/>
              </w:rPr>
            </w:pPr>
            <w:r>
              <w:rPr>
                <w:rFonts w:hint="eastAsia"/>
                <w:color w:val="auto"/>
                <w:sz w:val="21"/>
                <w:szCs w:val="21"/>
              </w:rPr>
              <w:t>提前</w:t>
            </w:r>
            <w:r>
              <w:rPr>
                <w:color w:val="auto"/>
                <w:sz w:val="21"/>
                <w:szCs w:val="21"/>
              </w:rPr>
              <w:t>3</w:t>
            </w:r>
            <w:r>
              <w:rPr>
                <w:rFonts w:hint="eastAsia"/>
                <w:color w:val="auto"/>
                <w:sz w:val="21"/>
                <w:szCs w:val="21"/>
              </w:rPr>
              <w:t>天提出，并在信息化管理系统上填报</w:t>
            </w:r>
          </w:p>
        </w:tc>
        <w:tc>
          <w:tcPr>
            <w:tcW w:w="174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rPr>
                <w:color w:val="auto"/>
                <w:sz w:val="21"/>
                <w:szCs w:val="21"/>
              </w:rPr>
            </w:pPr>
          </w:p>
        </w:tc>
        <w:tc>
          <w:tcPr>
            <w:tcW w:w="1574"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auto"/>
                <w:sz w:val="21"/>
                <w:szCs w:val="21"/>
              </w:rPr>
            </w:pPr>
            <w:r>
              <w:rPr>
                <w:rFonts w:hint="eastAsia"/>
                <w:color w:val="auto"/>
                <w:sz w:val="21"/>
                <w:szCs w:val="21"/>
              </w:rPr>
              <w:t>参加考核</w:t>
            </w:r>
          </w:p>
          <w:p>
            <w:pPr>
              <w:spacing w:line="300" w:lineRule="exact"/>
              <w:jc w:val="center"/>
              <w:rPr>
                <w:color w:val="auto"/>
                <w:sz w:val="21"/>
                <w:szCs w:val="21"/>
              </w:rPr>
            </w:pPr>
            <w:r>
              <w:rPr>
                <w:rFonts w:hint="eastAsia"/>
                <w:color w:val="auto"/>
                <w:sz w:val="21"/>
                <w:szCs w:val="21"/>
              </w:rPr>
              <w:t>人数</w:t>
            </w:r>
          </w:p>
        </w:tc>
        <w:tc>
          <w:tcPr>
            <w:tcW w:w="146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21"/>
                <w:szCs w:val="21"/>
              </w:rPr>
            </w:pPr>
          </w:p>
        </w:tc>
        <w:tc>
          <w:tcPr>
            <w:tcW w:w="367"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auto"/>
                <w:sz w:val="21"/>
                <w:szCs w:val="21"/>
              </w:rPr>
            </w:pPr>
            <w:r>
              <w:rPr>
                <w:rFonts w:hint="eastAsia"/>
                <w:color w:val="auto"/>
                <w:sz w:val="21"/>
                <w:szCs w:val="21"/>
              </w:rPr>
              <w:t>其中</w:t>
            </w:r>
          </w:p>
        </w:tc>
        <w:tc>
          <w:tcPr>
            <w:tcW w:w="2759"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auto"/>
                <w:sz w:val="21"/>
                <w:szCs w:val="21"/>
              </w:rPr>
            </w:pPr>
            <w:r>
              <w:rPr>
                <w:rFonts w:hint="eastAsia"/>
                <w:color w:val="auto"/>
                <w:sz w:val="21"/>
                <w:szCs w:val="21"/>
              </w:rPr>
              <w:t>参加国家职业资格鉴定人数</w:t>
            </w:r>
          </w:p>
          <w:p>
            <w:pPr>
              <w:spacing w:line="300" w:lineRule="exact"/>
              <w:jc w:val="center"/>
              <w:rPr>
                <w:color w:val="auto"/>
                <w:sz w:val="21"/>
                <w:szCs w:val="21"/>
              </w:rPr>
            </w:pPr>
          </w:p>
        </w:tc>
        <w:tc>
          <w:tcPr>
            <w:tcW w:w="174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auto"/>
                <w:sz w:val="21"/>
                <w:szCs w:val="21"/>
              </w:rPr>
            </w:pPr>
          </w:p>
        </w:tc>
        <w:tc>
          <w:tcPr>
            <w:tcW w:w="1574"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auto"/>
                <w:sz w:val="21"/>
                <w:szCs w:val="21"/>
              </w:rPr>
            </w:pPr>
            <w:r>
              <w:rPr>
                <w:rFonts w:hint="eastAsia"/>
                <w:color w:val="auto"/>
                <w:sz w:val="21"/>
                <w:szCs w:val="21"/>
              </w:rPr>
              <w:t>取证人数</w:t>
            </w:r>
          </w:p>
        </w:tc>
        <w:tc>
          <w:tcPr>
            <w:tcW w:w="146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21"/>
                <w:szCs w:val="21"/>
              </w:rPr>
            </w:pPr>
          </w:p>
        </w:tc>
        <w:tc>
          <w:tcPr>
            <w:tcW w:w="79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21"/>
                <w:szCs w:val="21"/>
              </w:rPr>
            </w:pPr>
          </w:p>
        </w:tc>
        <w:tc>
          <w:tcPr>
            <w:tcW w:w="2759"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auto"/>
                <w:sz w:val="21"/>
                <w:szCs w:val="21"/>
              </w:rPr>
            </w:pPr>
            <w:r>
              <w:rPr>
                <w:rFonts w:hint="eastAsia"/>
                <w:color w:val="auto"/>
                <w:sz w:val="21"/>
                <w:szCs w:val="21"/>
              </w:rPr>
              <w:t>参加职业技能等级评定人数</w:t>
            </w:r>
          </w:p>
        </w:tc>
        <w:tc>
          <w:tcPr>
            <w:tcW w:w="174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auto"/>
                <w:sz w:val="21"/>
                <w:szCs w:val="21"/>
              </w:rPr>
            </w:pPr>
          </w:p>
        </w:tc>
        <w:tc>
          <w:tcPr>
            <w:tcW w:w="1574"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auto"/>
                <w:sz w:val="21"/>
                <w:szCs w:val="21"/>
              </w:rPr>
            </w:pPr>
            <w:r>
              <w:rPr>
                <w:rFonts w:hint="eastAsia"/>
                <w:color w:val="auto"/>
                <w:sz w:val="21"/>
                <w:szCs w:val="21"/>
              </w:rPr>
              <w:t>取证人数</w:t>
            </w:r>
          </w:p>
        </w:tc>
        <w:tc>
          <w:tcPr>
            <w:tcW w:w="146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21"/>
                <w:szCs w:val="21"/>
              </w:rPr>
            </w:pPr>
          </w:p>
        </w:tc>
        <w:tc>
          <w:tcPr>
            <w:tcW w:w="79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21"/>
                <w:szCs w:val="21"/>
              </w:rPr>
            </w:pPr>
          </w:p>
        </w:tc>
        <w:tc>
          <w:tcPr>
            <w:tcW w:w="2759"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auto"/>
                <w:sz w:val="21"/>
                <w:szCs w:val="21"/>
              </w:rPr>
            </w:pPr>
            <w:r>
              <w:rPr>
                <w:rFonts w:hint="eastAsia"/>
                <w:color w:val="auto"/>
                <w:sz w:val="21"/>
                <w:szCs w:val="21"/>
              </w:rPr>
              <w:t>参加特种作业操作考核人数</w:t>
            </w:r>
          </w:p>
        </w:tc>
        <w:tc>
          <w:tcPr>
            <w:tcW w:w="174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auto"/>
                <w:sz w:val="21"/>
                <w:szCs w:val="21"/>
              </w:rPr>
            </w:pPr>
          </w:p>
        </w:tc>
        <w:tc>
          <w:tcPr>
            <w:tcW w:w="1574"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auto"/>
                <w:sz w:val="21"/>
                <w:szCs w:val="21"/>
              </w:rPr>
            </w:pPr>
            <w:r>
              <w:rPr>
                <w:rFonts w:hint="eastAsia"/>
                <w:color w:val="auto"/>
                <w:sz w:val="21"/>
                <w:szCs w:val="21"/>
              </w:rPr>
              <w:t>取证人数</w:t>
            </w:r>
          </w:p>
        </w:tc>
        <w:tc>
          <w:tcPr>
            <w:tcW w:w="146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21"/>
                <w:szCs w:val="21"/>
              </w:rPr>
            </w:pPr>
          </w:p>
        </w:tc>
        <w:tc>
          <w:tcPr>
            <w:tcW w:w="79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21"/>
                <w:szCs w:val="21"/>
              </w:rPr>
            </w:pPr>
          </w:p>
        </w:tc>
        <w:tc>
          <w:tcPr>
            <w:tcW w:w="2759"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auto"/>
                <w:sz w:val="21"/>
                <w:szCs w:val="21"/>
              </w:rPr>
            </w:pPr>
            <w:r>
              <w:rPr>
                <w:rFonts w:hint="eastAsia"/>
                <w:color w:val="auto"/>
                <w:sz w:val="21"/>
                <w:szCs w:val="21"/>
              </w:rPr>
              <w:t>参加专项能力考核认定人数</w:t>
            </w:r>
          </w:p>
        </w:tc>
        <w:tc>
          <w:tcPr>
            <w:tcW w:w="174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auto"/>
                <w:sz w:val="21"/>
                <w:szCs w:val="21"/>
              </w:rPr>
            </w:pPr>
          </w:p>
        </w:tc>
        <w:tc>
          <w:tcPr>
            <w:tcW w:w="1574"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auto"/>
                <w:sz w:val="21"/>
                <w:szCs w:val="21"/>
              </w:rPr>
            </w:pPr>
            <w:r>
              <w:rPr>
                <w:rFonts w:hint="eastAsia"/>
                <w:color w:val="auto"/>
                <w:sz w:val="21"/>
                <w:szCs w:val="21"/>
              </w:rPr>
              <w:t>取证人数</w:t>
            </w:r>
          </w:p>
        </w:tc>
        <w:tc>
          <w:tcPr>
            <w:tcW w:w="146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21"/>
                <w:szCs w:val="21"/>
              </w:rPr>
            </w:pPr>
          </w:p>
        </w:tc>
        <w:tc>
          <w:tcPr>
            <w:tcW w:w="79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21"/>
                <w:szCs w:val="21"/>
              </w:rPr>
            </w:pPr>
          </w:p>
        </w:tc>
        <w:tc>
          <w:tcPr>
            <w:tcW w:w="2759"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auto"/>
                <w:sz w:val="21"/>
                <w:szCs w:val="21"/>
              </w:rPr>
            </w:pPr>
            <w:r>
              <w:rPr>
                <w:rFonts w:hint="eastAsia"/>
                <w:color w:val="auto"/>
                <w:sz w:val="21"/>
                <w:szCs w:val="21"/>
              </w:rPr>
              <w:t>参加结业考核人数</w:t>
            </w:r>
          </w:p>
        </w:tc>
        <w:tc>
          <w:tcPr>
            <w:tcW w:w="174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auto"/>
                <w:sz w:val="21"/>
                <w:szCs w:val="21"/>
              </w:rPr>
            </w:pPr>
          </w:p>
        </w:tc>
        <w:tc>
          <w:tcPr>
            <w:tcW w:w="1574"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auto"/>
                <w:sz w:val="21"/>
                <w:szCs w:val="21"/>
              </w:rPr>
            </w:pPr>
            <w:r>
              <w:rPr>
                <w:rFonts w:hint="eastAsia"/>
                <w:color w:val="auto"/>
                <w:sz w:val="21"/>
                <w:szCs w:val="21"/>
              </w:rPr>
              <w:t>取证人数</w:t>
            </w:r>
          </w:p>
        </w:tc>
        <w:tc>
          <w:tcPr>
            <w:tcW w:w="146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jc w:val="center"/>
        </w:trPr>
        <w:tc>
          <w:tcPr>
            <w:tcW w:w="11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21"/>
                <w:szCs w:val="21"/>
              </w:rPr>
            </w:pPr>
          </w:p>
        </w:tc>
        <w:tc>
          <w:tcPr>
            <w:tcW w:w="239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color w:val="auto"/>
                <w:sz w:val="21"/>
                <w:szCs w:val="21"/>
              </w:rPr>
            </w:pPr>
            <w:r>
              <w:rPr>
                <w:rFonts w:hint="eastAsia"/>
                <w:color w:val="auto"/>
                <w:sz w:val="21"/>
                <w:szCs w:val="21"/>
              </w:rPr>
              <w:t>考核结果是否在职业培训信息化管理系统填报</w:t>
            </w:r>
          </w:p>
        </w:tc>
        <w:tc>
          <w:tcPr>
            <w:tcW w:w="73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auto"/>
                <w:sz w:val="21"/>
                <w:szCs w:val="21"/>
              </w:rPr>
            </w:pPr>
          </w:p>
        </w:tc>
        <w:tc>
          <w:tcPr>
            <w:tcW w:w="9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auto"/>
                <w:sz w:val="21"/>
                <w:szCs w:val="21"/>
              </w:rPr>
            </w:pPr>
            <w:r>
              <w:rPr>
                <w:rFonts w:hint="eastAsia"/>
                <w:color w:val="auto"/>
                <w:sz w:val="21"/>
                <w:szCs w:val="21"/>
              </w:rPr>
              <w:t>取证总人数</w:t>
            </w:r>
          </w:p>
        </w:tc>
        <w:tc>
          <w:tcPr>
            <w:tcW w:w="82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auto"/>
                <w:sz w:val="21"/>
                <w:szCs w:val="21"/>
              </w:rPr>
            </w:pPr>
          </w:p>
        </w:tc>
        <w:tc>
          <w:tcPr>
            <w:tcW w:w="157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auto"/>
                <w:sz w:val="21"/>
                <w:szCs w:val="21"/>
              </w:rPr>
            </w:pPr>
            <w:r>
              <w:rPr>
                <w:rFonts w:hint="eastAsia"/>
                <w:color w:val="auto"/>
                <w:sz w:val="21"/>
                <w:szCs w:val="21"/>
              </w:rPr>
              <w:t>考核巡查</w:t>
            </w:r>
          </w:p>
          <w:p>
            <w:pPr>
              <w:spacing w:line="320" w:lineRule="exact"/>
              <w:jc w:val="center"/>
              <w:rPr>
                <w:color w:val="auto"/>
                <w:sz w:val="21"/>
                <w:szCs w:val="21"/>
              </w:rPr>
            </w:pPr>
            <w:r>
              <w:rPr>
                <w:rFonts w:hint="eastAsia"/>
                <w:color w:val="auto"/>
                <w:sz w:val="21"/>
                <w:szCs w:val="21"/>
              </w:rPr>
              <w:t>人员签字</w:t>
            </w:r>
          </w:p>
        </w:tc>
        <w:tc>
          <w:tcPr>
            <w:tcW w:w="146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161"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auto"/>
                <w:sz w:val="21"/>
                <w:szCs w:val="21"/>
              </w:rPr>
            </w:pPr>
            <w:r>
              <w:rPr>
                <w:rFonts w:hint="eastAsia"/>
                <w:color w:val="auto"/>
                <w:sz w:val="21"/>
                <w:szCs w:val="21"/>
              </w:rPr>
              <w:t>补贴</w:t>
            </w:r>
          </w:p>
          <w:p>
            <w:pPr>
              <w:spacing w:line="400" w:lineRule="exact"/>
              <w:jc w:val="center"/>
              <w:rPr>
                <w:color w:val="auto"/>
                <w:sz w:val="21"/>
                <w:szCs w:val="21"/>
              </w:rPr>
            </w:pPr>
            <w:r>
              <w:rPr>
                <w:rFonts w:hint="eastAsia"/>
                <w:color w:val="auto"/>
                <w:sz w:val="21"/>
                <w:szCs w:val="21"/>
              </w:rPr>
              <w:t>资金</w:t>
            </w:r>
          </w:p>
          <w:p>
            <w:pPr>
              <w:spacing w:line="400" w:lineRule="exact"/>
              <w:jc w:val="center"/>
              <w:rPr>
                <w:color w:val="auto"/>
                <w:sz w:val="21"/>
                <w:szCs w:val="21"/>
              </w:rPr>
            </w:pPr>
            <w:r>
              <w:rPr>
                <w:rFonts w:hint="eastAsia"/>
                <w:color w:val="auto"/>
                <w:sz w:val="21"/>
                <w:szCs w:val="21"/>
              </w:rPr>
              <w:t>申领</w:t>
            </w:r>
          </w:p>
        </w:tc>
        <w:tc>
          <w:tcPr>
            <w:tcW w:w="2394"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20" w:lineRule="exact"/>
              <w:rPr>
                <w:color w:val="auto"/>
                <w:sz w:val="21"/>
                <w:szCs w:val="21"/>
              </w:rPr>
            </w:pPr>
            <w:r>
              <w:rPr>
                <w:rFonts w:hint="eastAsia"/>
                <w:color w:val="auto"/>
                <w:sz w:val="21"/>
                <w:szCs w:val="21"/>
              </w:rPr>
              <w:t>企业或培训机构或个人向行业主管部门申请</w:t>
            </w:r>
          </w:p>
        </w:tc>
        <w:tc>
          <w:tcPr>
            <w:tcW w:w="1656"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auto"/>
                <w:sz w:val="21"/>
                <w:szCs w:val="21"/>
              </w:rPr>
            </w:pPr>
            <w:r>
              <w:rPr>
                <w:rFonts w:hint="eastAsia"/>
                <w:color w:val="auto"/>
                <w:sz w:val="21"/>
                <w:szCs w:val="21"/>
              </w:rPr>
              <w:t>申请补贴人数</w:t>
            </w:r>
          </w:p>
        </w:tc>
        <w:tc>
          <w:tcPr>
            <w:tcW w:w="82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auto"/>
                <w:sz w:val="21"/>
                <w:szCs w:val="21"/>
              </w:rPr>
            </w:pPr>
          </w:p>
        </w:tc>
        <w:tc>
          <w:tcPr>
            <w:tcW w:w="157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auto"/>
                <w:sz w:val="21"/>
                <w:szCs w:val="21"/>
              </w:rPr>
            </w:pPr>
            <w:r>
              <w:rPr>
                <w:rFonts w:hint="eastAsia"/>
                <w:color w:val="auto"/>
                <w:sz w:val="21"/>
                <w:szCs w:val="21"/>
              </w:rPr>
              <w:t>申请补贴资金</w:t>
            </w:r>
          </w:p>
        </w:tc>
        <w:tc>
          <w:tcPr>
            <w:tcW w:w="146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auto"/>
                <w:sz w:val="21"/>
                <w:szCs w:val="21"/>
              </w:rPr>
            </w:pPr>
            <w:r>
              <w:rPr>
                <w:color w:val="auto"/>
                <w:sz w:val="21"/>
                <w:szCs w:val="21"/>
              </w:rPr>
              <w:t xml:space="preserve">       </w:t>
            </w:r>
            <w:r>
              <w:rPr>
                <w:rFonts w:hint="eastAsia"/>
                <w:color w:val="auto"/>
                <w:sz w:val="21"/>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5" w:hRule="atLeast"/>
          <w:jc w:val="center"/>
        </w:trPr>
        <w:tc>
          <w:tcPr>
            <w:tcW w:w="11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21"/>
                <w:szCs w:val="21"/>
              </w:rPr>
            </w:pPr>
          </w:p>
        </w:tc>
        <w:tc>
          <w:tcPr>
            <w:tcW w:w="1066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21"/>
                <w:szCs w:val="21"/>
              </w:rPr>
            </w:pPr>
          </w:p>
        </w:tc>
        <w:tc>
          <w:tcPr>
            <w:tcW w:w="5512"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ind w:firstLine="420"/>
              <w:rPr>
                <w:color w:val="auto"/>
                <w:sz w:val="21"/>
                <w:szCs w:val="21"/>
              </w:rPr>
            </w:pPr>
            <w:r>
              <w:rPr>
                <w:rFonts w:hint="eastAsia"/>
                <w:color w:val="auto"/>
                <w:sz w:val="21"/>
                <w:szCs w:val="21"/>
              </w:rPr>
              <w:t>我郑重承诺对提供的各项材料和信息真实性负责，自觉接受社会监督。若有违反本承诺的行为，依法接受处理，并承担相应的责任。</w:t>
            </w:r>
          </w:p>
          <w:p>
            <w:pPr>
              <w:spacing w:line="320" w:lineRule="exact"/>
              <w:ind w:firstLine="420"/>
              <w:rPr>
                <w:color w:val="auto"/>
                <w:sz w:val="21"/>
                <w:szCs w:val="21"/>
              </w:rPr>
            </w:pPr>
          </w:p>
          <w:p>
            <w:pPr>
              <w:spacing w:line="320" w:lineRule="exact"/>
              <w:jc w:val="center"/>
              <w:rPr>
                <w:color w:val="auto"/>
                <w:sz w:val="21"/>
                <w:szCs w:val="21"/>
              </w:rPr>
            </w:pPr>
            <w:r>
              <w:rPr>
                <w:color w:val="auto"/>
                <w:sz w:val="21"/>
                <w:szCs w:val="21"/>
              </w:rPr>
              <w:t xml:space="preserve">               </w:t>
            </w:r>
            <w:r>
              <w:rPr>
                <w:rFonts w:hint="eastAsia"/>
                <w:color w:val="auto"/>
                <w:sz w:val="21"/>
                <w:szCs w:val="21"/>
              </w:rPr>
              <w:t>申请承诺人：</w:t>
            </w:r>
            <w:r>
              <w:rPr>
                <w:color w:val="auto"/>
                <w:sz w:val="21"/>
                <w:szCs w:val="21"/>
              </w:rPr>
              <w:t xml:space="preserve">           </w:t>
            </w:r>
            <w:r>
              <w:rPr>
                <w:rFonts w:hint="eastAsia"/>
                <w:color w:val="auto"/>
                <w:sz w:val="21"/>
                <w:szCs w:val="21"/>
              </w:rPr>
              <w:t>年</w:t>
            </w:r>
            <w:r>
              <w:rPr>
                <w:color w:val="auto"/>
                <w:sz w:val="21"/>
                <w:szCs w:val="21"/>
              </w:rPr>
              <w:t xml:space="preserve">  </w:t>
            </w:r>
            <w:r>
              <w:rPr>
                <w:rFonts w:hint="eastAsia"/>
                <w:color w:val="auto"/>
                <w:sz w:val="21"/>
                <w:szCs w:val="21"/>
              </w:rPr>
              <w:t>月</w:t>
            </w:r>
            <w:r>
              <w:rPr>
                <w:color w:val="auto"/>
                <w:sz w:val="21"/>
                <w:szCs w:val="21"/>
              </w:rPr>
              <w:t xml:space="preserve">  </w:t>
            </w:r>
            <w:r>
              <w:rPr>
                <w:rFonts w:hint="eastAsia"/>
                <w:color w:val="auto"/>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jc w:val="center"/>
        </w:trPr>
        <w:tc>
          <w:tcPr>
            <w:tcW w:w="11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21"/>
                <w:szCs w:val="21"/>
              </w:rPr>
            </w:pPr>
          </w:p>
        </w:tc>
        <w:tc>
          <w:tcPr>
            <w:tcW w:w="239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auto"/>
                <w:sz w:val="21"/>
                <w:szCs w:val="21"/>
              </w:rPr>
            </w:pPr>
            <w:r>
              <w:rPr>
                <w:rFonts w:hint="eastAsia"/>
                <w:color w:val="auto"/>
                <w:sz w:val="21"/>
                <w:szCs w:val="21"/>
              </w:rPr>
              <w:t>行业主管部门审核情况（自受理之日起15个工作日内）</w:t>
            </w:r>
          </w:p>
        </w:tc>
        <w:tc>
          <w:tcPr>
            <w:tcW w:w="5512"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auto"/>
                <w:sz w:val="21"/>
                <w:szCs w:val="21"/>
              </w:rPr>
            </w:pPr>
          </w:p>
          <w:p>
            <w:pPr>
              <w:spacing w:line="320" w:lineRule="exact"/>
              <w:jc w:val="right"/>
              <w:rPr>
                <w:color w:val="auto"/>
                <w:sz w:val="21"/>
                <w:szCs w:val="21"/>
              </w:rPr>
            </w:pPr>
          </w:p>
          <w:p>
            <w:pPr>
              <w:spacing w:line="320" w:lineRule="exact"/>
              <w:jc w:val="right"/>
              <w:rPr>
                <w:color w:val="auto"/>
                <w:sz w:val="21"/>
                <w:szCs w:val="21"/>
              </w:rPr>
            </w:pPr>
          </w:p>
          <w:p>
            <w:pPr>
              <w:wordWrap w:val="0"/>
              <w:spacing w:line="320" w:lineRule="exact"/>
              <w:jc w:val="right"/>
              <w:rPr>
                <w:color w:val="auto"/>
                <w:sz w:val="21"/>
                <w:szCs w:val="21"/>
              </w:rPr>
            </w:pPr>
            <w:r>
              <w:rPr>
                <w:rFonts w:hint="eastAsia"/>
                <w:color w:val="auto"/>
                <w:sz w:val="21"/>
                <w:szCs w:val="21"/>
              </w:rPr>
              <w:t>初审人：</w:t>
            </w:r>
            <w:r>
              <w:rPr>
                <w:color w:val="auto"/>
                <w:sz w:val="21"/>
                <w:szCs w:val="21"/>
              </w:rPr>
              <w:t xml:space="preserve">          </w:t>
            </w:r>
            <w:r>
              <w:rPr>
                <w:rFonts w:hint="eastAsia"/>
                <w:color w:val="auto"/>
                <w:sz w:val="21"/>
                <w:szCs w:val="21"/>
              </w:rPr>
              <w:t>复核人：</w:t>
            </w:r>
            <w:r>
              <w:rPr>
                <w:color w:val="auto"/>
                <w:sz w:val="21"/>
                <w:szCs w:val="21"/>
              </w:rPr>
              <w:t xml:space="preserve">      </w:t>
            </w:r>
            <w:r>
              <w:rPr>
                <w:rFonts w:hint="eastAsia"/>
                <w:color w:val="auto"/>
                <w:sz w:val="21"/>
                <w:szCs w:val="21"/>
              </w:rPr>
              <w:t>盖章</w:t>
            </w:r>
            <w:r>
              <w:rPr>
                <w:color w:val="auto"/>
                <w:sz w:val="21"/>
                <w:szCs w:val="21"/>
              </w:rPr>
              <w:t xml:space="preserve">   </w:t>
            </w:r>
            <w:r>
              <w:rPr>
                <w:rFonts w:hint="eastAsia"/>
                <w:color w:val="auto"/>
                <w:sz w:val="21"/>
                <w:szCs w:val="21"/>
              </w:rPr>
              <w:t>年</w:t>
            </w:r>
            <w:r>
              <w:rPr>
                <w:color w:val="auto"/>
                <w:sz w:val="21"/>
                <w:szCs w:val="21"/>
              </w:rPr>
              <w:t xml:space="preserve">  </w:t>
            </w:r>
            <w:r>
              <w:rPr>
                <w:rFonts w:hint="eastAsia"/>
                <w:color w:val="auto"/>
                <w:sz w:val="21"/>
                <w:szCs w:val="21"/>
              </w:rPr>
              <w:t>月</w:t>
            </w:r>
            <w:r>
              <w:rPr>
                <w:color w:val="auto"/>
                <w:sz w:val="21"/>
                <w:szCs w:val="21"/>
              </w:rPr>
              <w:t xml:space="preserve">  </w:t>
            </w:r>
            <w:r>
              <w:rPr>
                <w:rFonts w:hint="eastAsia"/>
                <w:color w:val="auto"/>
                <w:sz w:val="21"/>
                <w:szCs w:val="21"/>
              </w:rPr>
              <w:t>日</w:t>
            </w:r>
            <w:r>
              <w:rPr>
                <w:color w:val="auto"/>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jc w:val="center"/>
        </w:trPr>
        <w:tc>
          <w:tcPr>
            <w:tcW w:w="11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21"/>
                <w:szCs w:val="21"/>
              </w:rPr>
            </w:pPr>
          </w:p>
        </w:tc>
        <w:tc>
          <w:tcPr>
            <w:tcW w:w="239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auto"/>
                <w:sz w:val="21"/>
                <w:szCs w:val="21"/>
              </w:rPr>
            </w:pPr>
            <w:r>
              <w:rPr>
                <w:rFonts w:hint="eastAsia"/>
                <w:color w:val="auto"/>
                <w:sz w:val="21"/>
                <w:szCs w:val="21"/>
              </w:rPr>
              <w:t>人力资源社会保障部门对补贴信息公示情况</w:t>
            </w:r>
          </w:p>
          <w:p>
            <w:pPr>
              <w:spacing w:line="320" w:lineRule="exact"/>
              <w:jc w:val="center"/>
              <w:rPr>
                <w:color w:val="auto"/>
                <w:sz w:val="21"/>
                <w:szCs w:val="21"/>
              </w:rPr>
            </w:pPr>
            <w:r>
              <w:rPr>
                <w:rFonts w:hint="eastAsia"/>
                <w:color w:val="auto"/>
                <w:sz w:val="21"/>
                <w:szCs w:val="21"/>
              </w:rPr>
              <w:t>（不少于3个工作日）</w:t>
            </w:r>
          </w:p>
        </w:tc>
        <w:tc>
          <w:tcPr>
            <w:tcW w:w="5512"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ind w:firstLine="619"/>
              <w:jc w:val="left"/>
              <w:rPr>
                <w:color w:val="auto"/>
                <w:sz w:val="21"/>
                <w:szCs w:val="21"/>
              </w:rPr>
            </w:pPr>
            <w:r>
              <w:rPr>
                <w:rFonts w:hint="eastAsia"/>
                <w:color w:val="auto"/>
                <w:sz w:val="21"/>
                <w:szCs w:val="21"/>
              </w:rPr>
              <w:t>年</w:t>
            </w:r>
            <w:r>
              <w:rPr>
                <w:color w:val="auto"/>
                <w:sz w:val="21"/>
                <w:szCs w:val="21"/>
              </w:rPr>
              <w:t xml:space="preserve">   </w:t>
            </w:r>
            <w:r>
              <w:rPr>
                <w:rFonts w:hint="eastAsia"/>
                <w:color w:val="auto"/>
                <w:sz w:val="21"/>
                <w:szCs w:val="21"/>
              </w:rPr>
              <w:t>月</w:t>
            </w:r>
            <w:r>
              <w:rPr>
                <w:color w:val="auto"/>
                <w:sz w:val="21"/>
                <w:szCs w:val="21"/>
              </w:rPr>
              <w:t xml:space="preserve">   </w:t>
            </w:r>
            <w:r>
              <w:rPr>
                <w:rFonts w:hint="eastAsia"/>
                <w:color w:val="auto"/>
                <w:sz w:val="21"/>
                <w:szCs w:val="21"/>
              </w:rPr>
              <w:t>日至</w:t>
            </w:r>
            <w:r>
              <w:rPr>
                <w:color w:val="auto"/>
                <w:sz w:val="21"/>
                <w:szCs w:val="21"/>
              </w:rPr>
              <w:t xml:space="preserve">     </w:t>
            </w:r>
            <w:r>
              <w:rPr>
                <w:rFonts w:hint="eastAsia"/>
                <w:color w:val="auto"/>
                <w:sz w:val="21"/>
                <w:szCs w:val="21"/>
              </w:rPr>
              <w:t>年</w:t>
            </w:r>
            <w:r>
              <w:rPr>
                <w:color w:val="auto"/>
                <w:sz w:val="21"/>
                <w:szCs w:val="21"/>
              </w:rPr>
              <w:t xml:space="preserve">    </w:t>
            </w:r>
            <w:r>
              <w:rPr>
                <w:rFonts w:hint="eastAsia"/>
                <w:color w:val="auto"/>
                <w:sz w:val="21"/>
                <w:szCs w:val="21"/>
              </w:rPr>
              <w:t>月</w:t>
            </w:r>
            <w:r>
              <w:rPr>
                <w:color w:val="auto"/>
                <w:sz w:val="21"/>
                <w:szCs w:val="21"/>
              </w:rPr>
              <w:t xml:space="preserve">   </w:t>
            </w:r>
            <w:r>
              <w:rPr>
                <w:rFonts w:hint="eastAsia"/>
                <w:color w:val="auto"/>
                <w:sz w:val="21"/>
                <w:szCs w:val="21"/>
              </w:rPr>
              <w:t>日在</w:t>
            </w:r>
            <w:r>
              <w:rPr>
                <w:color w:val="auto"/>
                <w:sz w:val="21"/>
                <w:szCs w:val="21"/>
              </w:rPr>
              <w:t xml:space="preserve">    </w:t>
            </w:r>
            <w:r>
              <w:rPr>
                <w:rFonts w:hint="eastAsia"/>
                <w:color w:val="auto"/>
                <w:sz w:val="21"/>
                <w:szCs w:val="21"/>
              </w:rPr>
              <w:t>省（市、县）人力资源和社会保障局官网进行公示，公示期</w:t>
            </w:r>
            <w:r>
              <w:rPr>
                <w:color w:val="auto"/>
                <w:sz w:val="21"/>
                <w:szCs w:val="21"/>
              </w:rPr>
              <w:t xml:space="preserve">    </w:t>
            </w:r>
            <w:r>
              <w:rPr>
                <w:rFonts w:hint="eastAsia"/>
                <w:color w:val="auto"/>
                <w:sz w:val="21"/>
                <w:szCs w:val="21"/>
              </w:rPr>
              <w:t>天，期间收到异议情况和处理情况：</w:t>
            </w:r>
          </w:p>
          <w:p>
            <w:pPr>
              <w:spacing w:line="320" w:lineRule="exact"/>
              <w:jc w:val="left"/>
              <w:rPr>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jc w:val="center"/>
        </w:trPr>
        <w:tc>
          <w:tcPr>
            <w:tcW w:w="11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21"/>
                <w:szCs w:val="21"/>
              </w:rPr>
            </w:pPr>
          </w:p>
        </w:tc>
        <w:tc>
          <w:tcPr>
            <w:tcW w:w="239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auto"/>
                <w:sz w:val="21"/>
                <w:szCs w:val="21"/>
              </w:rPr>
            </w:pPr>
            <w:r>
              <w:rPr>
                <w:rFonts w:hint="eastAsia"/>
                <w:color w:val="auto"/>
                <w:sz w:val="21"/>
                <w:szCs w:val="21"/>
              </w:rPr>
              <w:t>人力资源社会保障部门审核意见</w:t>
            </w:r>
          </w:p>
        </w:tc>
        <w:tc>
          <w:tcPr>
            <w:tcW w:w="5512"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rPr>
                <w:color w:val="auto"/>
                <w:sz w:val="21"/>
                <w:szCs w:val="21"/>
              </w:rPr>
            </w:pPr>
          </w:p>
          <w:p>
            <w:pPr>
              <w:spacing w:line="320" w:lineRule="exact"/>
              <w:rPr>
                <w:color w:val="auto"/>
                <w:sz w:val="21"/>
                <w:szCs w:val="21"/>
              </w:rPr>
            </w:pPr>
          </w:p>
          <w:p>
            <w:pPr>
              <w:wordWrap w:val="0"/>
              <w:spacing w:line="320" w:lineRule="exact"/>
              <w:jc w:val="right"/>
              <w:rPr>
                <w:color w:val="auto"/>
                <w:sz w:val="21"/>
                <w:szCs w:val="21"/>
              </w:rPr>
            </w:pPr>
            <w:r>
              <w:rPr>
                <w:rFonts w:hint="eastAsia"/>
                <w:color w:val="auto"/>
                <w:sz w:val="21"/>
                <w:szCs w:val="21"/>
              </w:rPr>
              <w:t>初审人：</w:t>
            </w:r>
            <w:r>
              <w:rPr>
                <w:color w:val="auto"/>
                <w:sz w:val="21"/>
                <w:szCs w:val="21"/>
              </w:rPr>
              <w:t xml:space="preserve">        </w:t>
            </w:r>
            <w:r>
              <w:rPr>
                <w:rFonts w:hint="eastAsia"/>
                <w:color w:val="auto"/>
                <w:sz w:val="21"/>
                <w:szCs w:val="21"/>
              </w:rPr>
              <w:t>复核人：</w:t>
            </w:r>
            <w:r>
              <w:rPr>
                <w:color w:val="auto"/>
                <w:sz w:val="21"/>
                <w:szCs w:val="21"/>
              </w:rPr>
              <w:t xml:space="preserve">    </w:t>
            </w:r>
            <w:r>
              <w:rPr>
                <w:rFonts w:hint="eastAsia"/>
                <w:color w:val="auto"/>
                <w:sz w:val="21"/>
                <w:szCs w:val="21"/>
              </w:rPr>
              <w:t>盖章</w:t>
            </w:r>
            <w:r>
              <w:rPr>
                <w:color w:val="auto"/>
                <w:sz w:val="21"/>
                <w:szCs w:val="21"/>
              </w:rPr>
              <w:t xml:space="preserve">      </w:t>
            </w:r>
            <w:r>
              <w:rPr>
                <w:rFonts w:hint="eastAsia"/>
                <w:color w:val="auto"/>
                <w:sz w:val="21"/>
                <w:szCs w:val="21"/>
              </w:rPr>
              <w:t>年</w:t>
            </w:r>
            <w:r>
              <w:rPr>
                <w:color w:val="auto"/>
                <w:sz w:val="21"/>
                <w:szCs w:val="21"/>
              </w:rPr>
              <w:t xml:space="preserve">  </w:t>
            </w:r>
            <w:r>
              <w:rPr>
                <w:rFonts w:hint="eastAsia"/>
                <w:color w:val="auto"/>
                <w:sz w:val="21"/>
                <w:szCs w:val="21"/>
              </w:rPr>
              <w:t>月</w:t>
            </w:r>
            <w:r>
              <w:rPr>
                <w:color w:val="auto"/>
                <w:sz w:val="21"/>
                <w:szCs w:val="21"/>
              </w:rPr>
              <w:t xml:space="preserve">  </w:t>
            </w:r>
            <w:r>
              <w:rPr>
                <w:rFonts w:hint="eastAsia"/>
                <w:color w:val="auto"/>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jc w:val="center"/>
        </w:trPr>
        <w:tc>
          <w:tcPr>
            <w:tcW w:w="1161"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auto"/>
                <w:sz w:val="21"/>
                <w:szCs w:val="21"/>
              </w:rPr>
            </w:pPr>
            <w:r>
              <w:rPr>
                <w:rFonts w:hint="eastAsia"/>
                <w:color w:val="auto"/>
                <w:sz w:val="21"/>
                <w:szCs w:val="21"/>
              </w:rPr>
              <w:t>资金</w:t>
            </w:r>
          </w:p>
          <w:p>
            <w:pPr>
              <w:spacing w:line="400" w:lineRule="exact"/>
              <w:jc w:val="center"/>
              <w:rPr>
                <w:color w:val="auto"/>
                <w:sz w:val="21"/>
                <w:szCs w:val="21"/>
              </w:rPr>
            </w:pPr>
            <w:r>
              <w:rPr>
                <w:rFonts w:hint="eastAsia"/>
                <w:color w:val="auto"/>
                <w:sz w:val="21"/>
                <w:szCs w:val="21"/>
              </w:rPr>
              <w:t>拨付</w:t>
            </w:r>
          </w:p>
        </w:tc>
        <w:tc>
          <w:tcPr>
            <w:tcW w:w="239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auto"/>
                <w:sz w:val="21"/>
                <w:szCs w:val="21"/>
              </w:rPr>
            </w:pPr>
            <w:r>
              <w:rPr>
                <w:rFonts w:hint="eastAsia"/>
                <w:color w:val="auto"/>
                <w:sz w:val="21"/>
                <w:szCs w:val="21"/>
              </w:rPr>
              <w:t>拨付时间</w:t>
            </w:r>
          </w:p>
        </w:tc>
        <w:tc>
          <w:tcPr>
            <w:tcW w:w="2477"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auto"/>
                <w:sz w:val="21"/>
                <w:szCs w:val="21"/>
              </w:rPr>
            </w:pPr>
          </w:p>
        </w:tc>
        <w:tc>
          <w:tcPr>
            <w:tcW w:w="116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auto"/>
                <w:sz w:val="21"/>
                <w:szCs w:val="21"/>
              </w:rPr>
            </w:pPr>
            <w:r>
              <w:rPr>
                <w:rFonts w:hint="eastAsia"/>
                <w:color w:val="auto"/>
                <w:sz w:val="21"/>
                <w:szCs w:val="21"/>
              </w:rPr>
              <w:t>拨付金额</w:t>
            </w:r>
          </w:p>
          <w:p>
            <w:pPr>
              <w:spacing w:line="320" w:lineRule="exact"/>
              <w:jc w:val="center"/>
              <w:rPr>
                <w:color w:val="auto"/>
                <w:sz w:val="21"/>
                <w:szCs w:val="21"/>
              </w:rPr>
            </w:pPr>
            <w:r>
              <w:rPr>
                <w:rFonts w:hint="eastAsia"/>
                <w:color w:val="auto"/>
                <w:sz w:val="21"/>
                <w:szCs w:val="21"/>
              </w:rPr>
              <w:t>（万元）</w:t>
            </w:r>
          </w:p>
        </w:tc>
        <w:tc>
          <w:tcPr>
            <w:tcW w:w="1866"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11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21"/>
                <w:szCs w:val="21"/>
              </w:rPr>
            </w:pPr>
          </w:p>
        </w:tc>
        <w:tc>
          <w:tcPr>
            <w:tcW w:w="4871"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auto"/>
                <w:sz w:val="21"/>
                <w:szCs w:val="21"/>
              </w:rPr>
            </w:pPr>
            <w:r>
              <w:rPr>
                <w:rFonts w:hint="eastAsia"/>
                <w:color w:val="auto"/>
                <w:sz w:val="21"/>
                <w:szCs w:val="21"/>
              </w:rPr>
              <w:t>资金来源（就业补助资金、失业保险基金、职业技能提升行动资金等）</w:t>
            </w:r>
          </w:p>
        </w:tc>
        <w:tc>
          <w:tcPr>
            <w:tcW w:w="3035"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116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auto"/>
                <w:sz w:val="21"/>
                <w:szCs w:val="21"/>
              </w:rPr>
            </w:pPr>
            <w:r>
              <w:rPr>
                <w:rFonts w:hint="eastAsia"/>
                <w:color w:val="auto"/>
                <w:sz w:val="21"/>
                <w:szCs w:val="21"/>
              </w:rPr>
              <w:t>备注</w:t>
            </w:r>
          </w:p>
        </w:tc>
        <w:tc>
          <w:tcPr>
            <w:tcW w:w="7906" w:type="dxa"/>
            <w:gridSpan w:val="8"/>
            <w:tcBorders>
              <w:top w:val="single" w:color="auto" w:sz="4" w:space="0"/>
              <w:left w:val="single" w:color="auto" w:sz="4" w:space="0"/>
              <w:bottom w:val="single" w:color="auto" w:sz="4" w:space="0"/>
              <w:right w:val="single" w:color="auto" w:sz="4" w:space="0"/>
            </w:tcBorders>
            <w:vAlign w:val="center"/>
          </w:tcPr>
          <w:p>
            <w:pPr>
              <w:spacing w:line="320" w:lineRule="exact"/>
              <w:rPr>
                <w:color w:val="auto"/>
                <w:sz w:val="21"/>
                <w:szCs w:val="21"/>
              </w:rPr>
            </w:pPr>
            <w:r>
              <w:rPr>
                <w:color w:val="auto"/>
                <w:sz w:val="21"/>
                <w:szCs w:val="21"/>
              </w:rPr>
              <w:t>1</w:t>
            </w:r>
            <w:r>
              <w:rPr>
                <w:rFonts w:hint="eastAsia"/>
                <w:color w:val="auto"/>
                <w:sz w:val="21"/>
                <w:szCs w:val="21"/>
              </w:rPr>
              <w:t>．培训专业及批次较多的，可在此表相应栏目中添加；</w:t>
            </w:r>
          </w:p>
          <w:p>
            <w:pPr>
              <w:spacing w:line="320" w:lineRule="exact"/>
              <w:rPr>
                <w:color w:val="auto"/>
                <w:sz w:val="21"/>
                <w:szCs w:val="21"/>
              </w:rPr>
            </w:pPr>
            <w:r>
              <w:rPr>
                <w:color w:val="auto"/>
                <w:sz w:val="21"/>
                <w:szCs w:val="21"/>
              </w:rPr>
              <w:t>2</w:t>
            </w:r>
            <w:r>
              <w:rPr>
                <w:rFonts w:hint="eastAsia"/>
                <w:color w:val="auto"/>
                <w:sz w:val="21"/>
                <w:szCs w:val="21"/>
              </w:rPr>
              <w:t>．个人申请的，将培训机构栏目改为个人，仅填写此表涉及个人及培训机构、评价</w:t>
            </w:r>
          </w:p>
          <w:p>
            <w:pPr>
              <w:spacing w:line="320" w:lineRule="exact"/>
              <w:ind w:firstLine="309" w:firstLineChars="150"/>
              <w:rPr>
                <w:color w:val="auto"/>
                <w:sz w:val="21"/>
                <w:szCs w:val="21"/>
              </w:rPr>
            </w:pPr>
            <w:r>
              <w:rPr>
                <w:rFonts w:hint="eastAsia"/>
                <w:color w:val="auto"/>
                <w:sz w:val="21"/>
                <w:szCs w:val="21"/>
              </w:rPr>
              <w:t>机构等基本信息。</w:t>
            </w:r>
          </w:p>
        </w:tc>
      </w:tr>
    </w:tbl>
    <w:p>
      <w:pPr>
        <w:spacing w:line="40" w:lineRule="exact"/>
        <w:rPr>
          <w:color w:val="auto"/>
          <w:szCs w:val="32"/>
        </w:rPr>
      </w:pPr>
    </w:p>
    <w:p>
      <w:pPr>
        <w:rPr>
          <w:color w:val="auto"/>
          <w:szCs w:val="32"/>
        </w:rPr>
      </w:pPr>
      <w:r>
        <w:rPr>
          <w:rFonts w:hint="eastAsia"/>
          <w:color w:val="auto"/>
          <w:szCs w:val="32"/>
        </w:rPr>
        <w:t>附件3</w:t>
      </w:r>
    </w:p>
    <w:p>
      <w:pPr>
        <w:widowControl/>
        <w:shd w:val="clear" w:color="auto" w:fill="FFFFFF"/>
        <w:ind w:firstLine="480"/>
        <w:jc w:val="center"/>
        <w:rPr>
          <w:rFonts w:ascii="黑体" w:hAnsi="黑体" w:eastAsia="黑体" w:cs="宋体"/>
          <w:color w:val="auto"/>
          <w:kern w:val="0"/>
          <w:szCs w:val="32"/>
        </w:rPr>
      </w:pPr>
      <w:r>
        <w:rPr>
          <w:rFonts w:hint="eastAsia" w:ascii="黑体" w:hAnsi="黑体" w:eastAsia="黑体" w:cs="宋体"/>
          <w:color w:val="auto"/>
          <w:kern w:val="0"/>
          <w:szCs w:val="32"/>
        </w:rPr>
        <w:t>年度“互联网+职业技能培训”培训职业（工种）</w:t>
      </w:r>
    </w:p>
    <w:p>
      <w:pPr>
        <w:rPr>
          <w:color w:val="auto"/>
        </w:rPr>
      </w:pPr>
    </w:p>
    <w:tbl>
      <w:tblPr>
        <w:tblStyle w:val="9"/>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6520"/>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rPr>
                <w:rFonts w:ascii="仿宋" w:hAnsi="仿宋" w:eastAsia="仿宋"/>
                <w:color w:val="auto"/>
                <w:sz w:val="28"/>
                <w:szCs w:val="28"/>
              </w:rPr>
            </w:pPr>
            <w:r>
              <w:rPr>
                <w:rFonts w:hint="eastAsia" w:ascii="仿宋" w:hAnsi="仿宋" w:eastAsia="仿宋"/>
                <w:color w:val="auto"/>
                <w:sz w:val="28"/>
                <w:szCs w:val="28"/>
              </w:rPr>
              <w:t>序号</w:t>
            </w:r>
          </w:p>
        </w:tc>
        <w:tc>
          <w:tcPr>
            <w:tcW w:w="6520" w:type="dxa"/>
          </w:tcPr>
          <w:p>
            <w:pPr>
              <w:rPr>
                <w:rFonts w:ascii="仿宋" w:hAnsi="仿宋" w:eastAsia="仿宋"/>
                <w:color w:val="auto"/>
                <w:sz w:val="28"/>
                <w:szCs w:val="28"/>
              </w:rPr>
            </w:pPr>
            <w:r>
              <w:rPr>
                <w:rFonts w:hint="eastAsia" w:ascii="仿宋" w:hAnsi="仿宋" w:eastAsia="仿宋"/>
                <w:color w:val="auto"/>
                <w:sz w:val="28"/>
                <w:szCs w:val="28"/>
              </w:rPr>
              <w:t xml:space="preserve">          职业（工种）名称</w:t>
            </w:r>
          </w:p>
        </w:tc>
        <w:tc>
          <w:tcPr>
            <w:tcW w:w="1560" w:type="dxa"/>
          </w:tcPr>
          <w:p>
            <w:pPr>
              <w:spacing w:line="240" w:lineRule="exact"/>
              <w:rPr>
                <w:rFonts w:ascii="仿宋" w:hAnsi="仿宋" w:eastAsia="仿宋"/>
                <w:color w:val="auto"/>
                <w:sz w:val="28"/>
                <w:szCs w:val="28"/>
              </w:rPr>
            </w:pPr>
          </w:p>
          <w:p>
            <w:pPr>
              <w:spacing w:line="240" w:lineRule="exact"/>
              <w:rPr>
                <w:rFonts w:ascii="仿宋" w:hAnsi="仿宋" w:eastAsia="仿宋"/>
                <w:color w:val="auto"/>
                <w:sz w:val="28"/>
                <w:szCs w:val="28"/>
              </w:rPr>
            </w:pPr>
            <w:r>
              <w:rPr>
                <w:rFonts w:hint="eastAsia" w:ascii="仿宋" w:hAnsi="仿宋" w:eastAsia="仿宋"/>
                <w:color w:val="auto"/>
                <w:sz w:val="28"/>
                <w:szCs w:val="28"/>
              </w:rPr>
              <w:t>线下实训时长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6" w:hRule="atLeast"/>
        </w:trPr>
        <w:tc>
          <w:tcPr>
            <w:tcW w:w="959" w:type="dxa"/>
          </w:tcPr>
          <w:p>
            <w:pPr>
              <w:rPr>
                <w:rFonts w:ascii="仿宋" w:hAnsi="仿宋" w:eastAsia="仿宋"/>
                <w:color w:val="auto"/>
                <w:sz w:val="28"/>
                <w:szCs w:val="28"/>
              </w:rPr>
            </w:pPr>
          </w:p>
          <w:p>
            <w:pPr>
              <w:rPr>
                <w:rFonts w:ascii="仿宋" w:hAnsi="仿宋" w:eastAsia="仿宋"/>
                <w:color w:val="auto"/>
                <w:sz w:val="28"/>
                <w:szCs w:val="28"/>
              </w:rPr>
            </w:pPr>
          </w:p>
          <w:p>
            <w:pPr>
              <w:ind w:firstLine="276" w:firstLineChars="100"/>
              <w:rPr>
                <w:rFonts w:ascii="仿宋" w:hAnsi="仿宋" w:eastAsia="仿宋"/>
                <w:color w:val="auto"/>
                <w:sz w:val="28"/>
                <w:szCs w:val="28"/>
              </w:rPr>
            </w:pPr>
            <w:r>
              <w:rPr>
                <w:rFonts w:hint="eastAsia" w:ascii="仿宋" w:hAnsi="仿宋" w:eastAsia="仿宋"/>
                <w:color w:val="auto"/>
                <w:sz w:val="28"/>
                <w:szCs w:val="28"/>
              </w:rPr>
              <w:t>1</w:t>
            </w:r>
          </w:p>
        </w:tc>
        <w:tc>
          <w:tcPr>
            <w:tcW w:w="6520" w:type="dxa"/>
          </w:tcPr>
          <w:p>
            <w:pPr>
              <w:rPr>
                <w:rFonts w:ascii="仿宋" w:hAnsi="仿宋" w:eastAsia="仿宋"/>
                <w:color w:val="auto"/>
                <w:sz w:val="28"/>
                <w:szCs w:val="28"/>
              </w:rPr>
            </w:pPr>
            <w:r>
              <w:rPr>
                <w:rFonts w:hint="eastAsia" w:ascii="仿宋" w:hAnsi="仿宋" w:eastAsia="仿宋"/>
                <w:color w:val="auto"/>
                <w:sz w:val="28"/>
                <w:szCs w:val="28"/>
              </w:rPr>
              <w:t>电子商务师(含跨境电子商务师)、社会工作者、营销员、快递业务员、运输客服、货运代理员、物流信息员、物流服务师、铁路线路工、人造花制作工、收发员、收银员、邮政投递员、邮政营业员、邮件转运员、邮件分拣员、呼叫中心服务员、计算机程序设计员、插花花艺师、铁路列车乘务员、出版物发行员、道路货运业务员、家畜饲养员、林工采伐工、导购员、铁路客运员、行李值班员、铁路售票员、车站值班员、铁路信号工、劳动关系协调员、人力资源管理师</w:t>
            </w:r>
          </w:p>
        </w:tc>
        <w:tc>
          <w:tcPr>
            <w:tcW w:w="1560" w:type="dxa"/>
          </w:tcPr>
          <w:p>
            <w:pPr>
              <w:rPr>
                <w:rFonts w:ascii="仿宋" w:hAnsi="仿宋" w:eastAsia="仿宋"/>
                <w:color w:val="auto"/>
                <w:sz w:val="28"/>
                <w:szCs w:val="28"/>
              </w:rPr>
            </w:pPr>
            <w:r>
              <w:rPr>
                <w:rFonts w:hint="eastAsia" w:ascii="仿宋" w:hAnsi="仿宋" w:eastAsia="仿宋"/>
                <w:color w:val="auto"/>
                <w:sz w:val="28"/>
                <w:szCs w:val="28"/>
              </w:rPr>
              <w:t xml:space="preserve"> </w:t>
            </w:r>
          </w:p>
          <w:p>
            <w:pPr>
              <w:rPr>
                <w:rFonts w:ascii="仿宋" w:hAnsi="仿宋" w:eastAsia="仿宋"/>
                <w:color w:val="auto"/>
                <w:sz w:val="28"/>
                <w:szCs w:val="28"/>
              </w:rPr>
            </w:pPr>
          </w:p>
          <w:p>
            <w:pPr>
              <w:rPr>
                <w:rFonts w:ascii="仿宋" w:hAnsi="仿宋" w:eastAsia="仿宋"/>
                <w:color w:val="auto"/>
                <w:sz w:val="28"/>
                <w:szCs w:val="28"/>
              </w:rPr>
            </w:pPr>
          </w:p>
          <w:p>
            <w:pPr>
              <w:rPr>
                <w:rFonts w:ascii="仿宋" w:hAnsi="仿宋" w:eastAsia="仿宋"/>
                <w:color w:val="auto"/>
                <w:sz w:val="28"/>
                <w:szCs w:val="28"/>
              </w:rPr>
            </w:pPr>
            <w:r>
              <w:rPr>
                <w:rFonts w:hint="eastAsia" w:ascii="仿宋" w:hAnsi="仿宋" w:eastAsia="仿宋"/>
                <w:color w:val="auto"/>
                <w:sz w:val="28"/>
                <w:szCs w:val="28"/>
              </w:rPr>
              <w:t xml:space="preserve"> 全线上</w:t>
            </w:r>
          </w:p>
          <w:p>
            <w:pPr>
              <w:rPr>
                <w:rFonts w:ascii="仿宋" w:hAnsi="仿宋" w:eastAsia="仿宋"/>
                <w:color w:val="auto"/>
                <w:sz w:val="28"/>
                <w:szCs w:val="28"/>
              </w:rPr>
            </w:pPr>
            <w:r>
              <w:rPr>
                <w:rFonts w:hint="eastAsia" w:ascii="仿宋" w:hAnsi="仿宋" w:eastAsia="仿宋"/>
                <w:color w:val="auto"/>
                <w:sz w:val="28"/>
                <w:szCs w:val="28"/>
              </w:rPr>
              <w:t>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rPr>
                <w:rFonts w:ascii="仿宋" w:hAnsi="仿宋" w:eastAsia="仿宋"/>
                <w:color w:val="auto"/>
                <w:sz w:val="28"/>
                <w:szCs w:val="28"/>
              </w:rPr>
            </w:pPr>
          </w:p>
          <w:p>
            <w:pPr>
              <w:rPr>
                <w:rFonts w:ascii="仿宋" w:hAnsi="仿宋" w:eastAsia="仿宋"/>
                <w:color w:val="auto"/>
                <w:sz w:val="28"/>
                <w:szCs w:val="28"/>
              </w:rPr>
            </w:pPr>
          </w:p>
          <w:p>
            <w:pPr>
              <w:ind w:firstLine="276" w:firstLineChars="100"/>
              <w:rPr>
                <w:rFonts w:ascii="仿宋" w:hAnsi="仿宋" w:eastAsia="仿宋"/>
                <w:color w:val="auto"/>
                <w:sz w:val="28"/>
                <w:szCs w:val="28"/>
              </w:rPr>
            </w:pPr>
            <w:r>
              <w:rPr>
                <w:rFonts w:hint="eastAsia" w:ascii="仿宋" w:hAnsi="仿宋" w:eastAsia="仿宋"/>
                <w:color w:val="auto"/>
                <w:sz w:val="28"/>
                <w:szCs w:val="28"/>
              </w:rPr>
              <w:t>2</w:t>
            </w:r>
            <w:r>
              <w:rPr>
                <w:rFonts w:ascii="仿宋" w:hAnsi="仿宋" w:eastAsia="仿宋"/>
                <w:color w:val="auto"/>
                <w:sz w:val="28"/>
                <w:szCs w:val="28"/>
              </w:rPr>
              <w:t xml:space="preserve"> </w:t>
            </w:r>
          </w:p>
        </w:tc>
        <w:tc>
          <w:tcPr>
            <w:tcW w:w="6520" w:type="dxa"/>
          </w:tcPr>
          <w:p>
            <w:pPr>
              <w:rPr>
                <w:rFonts w:ascii="仿宋" w:hAnsi="仿宋" w:eastAsia="仿宋"/>
                <w:color w:val="auto"/>
                <w:sz w:val="28"/>
                <w:szCs w:val="28"/>
              </w:rPr>
            </w:pPr>
            <w:r>
              <w:rPr>
                <w:rFonts w:hint="eastAsia" w:ascii="仿宋" w:hAnsi="仿宋" w:eastAsia="仿宋"/>
                <w:color w:val="auto"/>
                <w:sz w:val="28"/>
                <w:szCs w:val="28"/>
              </w:rPr>
              <w:t>电子竞技员、电子竞技师、评茶员、茶艺师、园艺工、客房服务员、餐厅服务员、家政服务员、草坪园艺师、园林绿化工、盆景工、灯具设计师、服装设计人员、婚礼策划师、陶瓷产品设计师、陶瓷工艺师、消杀员、公共场所卫生管理员、食品安全员、心理咨询师</w:t>
            </w:r>
          </w:p>
        </w:tc>
        <w:tc>
          <w:tcPr>
            <w:tcW w:w="1560" w:type="dxa"/>
          </w:tcPr>
          <w:p>
            <w:pPr>
              <w:rPr>
                <w:rFonts w:ascii="仿宋" w:hAnsi="仿宋" w:eastAsia="仿宋"/>
                <w:color w:val="auto"/>
                <w:sz w:val="28"/>
                <w:szCs w:val="28"/>
              </w:rPr>
            </w:pPr>
          </w:p>
          <w:p>
            <w:pPr>
              <w:rPr>
                <w:rFonts w:ascii="仿宋" w:hAnsi="仿宋" w:eastAsia="仿宋"/>
                <w:color w:val="auto"/>
                <w:sz w:val="28"/>
                <w:szCs w:val="28"/>
              </w:rPr>
            </w:pPr>
            <w:r>
              <w:rPr>
                <w:rFonts w:hint="eastAsia" w:ascii="仿宋" w:hAnsi="仿宋" w:eastAsia="仿宋"/>
                <w:color w:val="auto"/>
                <w:sz w:val="28"/>
                <w:szCs w:val="28"/>
              </w:rPr>
              <w:t>不少于</w:t>
            </w:r>
          </w:p>
          <w:p>
            <w:pPr>
              <w:rPr>
                <w:rFonts w:ascii="仿宋" w:hAnsi="仿宋" w:eastAsia="仿宋"/>
                <w:color w:val="auto"/>
                <w:sz w:val="28"/>
                <w:szCs w:val="28"/>
              </w:rPr>
            </w:pPr>
            <w:r>
              <w:rPr>
                <w:rFonts w:hint="eastAsia" w:ascii="仿宋" w:hAnsi="仿宋" w:eastAsia="仿宋"/>
                <w:color w:val="auto"/>
                <w:sz w:val="28"/>
                <w:szCs w:val="28"/>
              </w:rPr>
              <w:t>8个学时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959" w:type="dxa"/>
          </w:tcPr>
          <w:p>
            <w:pPr>
              <w:rPr>
                <w:rFonts w:ascii="仿宋" w:hAnsi="仿宋" w:eastAsia="仿宋"/>
                <w:color w:val="auto"/>
                <w:sz w:val="28"/>
                <w:szCs w:val="28"/>
              </w:rPr>
            </w:pPr>
            <w:r>
              <w:rPr>
                <w:rFonts w:hint="eastAsia" w:ascii="仿宋" w:hAnsi="仿宋" w:eastAsia="仿宋"/>
                <w:color w:val="auto"/>
                <w:sz w:val="28"/>
                <w:szCs w:val="28"/>
              </w:rPr>
              <w:t>备注</w:t>
            </w:r>
          </w:p>
        </w:tc>
        <w:tc>
          <w:tcPr>
            <w:tcW w:w="8080" w:type="dxa"/>
            <w:gridSpan w:val="2"/>
          </w:tcPr>
          <w:p>
            <w:pPr>
              <w:rPr>
                <w:rFonts w:ascii="仿宋" w:hAnsi="仿宋" w:eastAsia="仿宋"/>
                <w:color w:val="auto"/>
                <w:sz w:val="28"/>
                <w:szCs w:val="28"/>
              </w:rPr>
            </w:pPr>
          </w:p>
        </w:tc>
      </w:tr>
    </w:tbl>
    <w:p>
      <w:pPr>
        <w:pStyle w:val="2"/>
        <w:rPr>
          <w:rFonts w:ascii="Times New Roman" w:eastAsia="方正小标宋_GBK" w:cs="Times New Roman"/>
          <w:color w:val="auto"/>
        </w:rPr>
      </w:pPr>
    </w:p>
    <w:p>
      <w:pPr>
        <w:pStyle w:val="2"/>
        <w:rPr>
          <w:rFonts w:ascii="Times New Roman" w:eastAsia="方正小标宋_GBK" w:cs="Times New Roman"/>
          <w:color w:val="auto"/>
        </w:rPr>
      </w:pPr>
    </w:p>
    <w:p>
      <w:pPr>
        <w:pStyle w:val="2"/>
        <w:rPr>
          <w:rFonts w:ascii="Times New Roman" w:eastAsia="方正小标宋_GBK" w:cs="Times New Roman"/>
          <w:color w:val="auto"/>
        </w:rPr>
      </w:pPr>
    </w:p>
    <w:p>
      <w:pPr>
        <w:pStyle w:val="2"/>
        <w:rPr>
          <w:rFonts w:ascii="Times New Roman" w:eastAsia="方正小标宋_GBK" w:cs="Times New Roman"/>
          <w:color w:val="auto"/>
        </w:rPr>
      </w:pPr>
    </w:p>
    <w:p>
      <w:pPr>
        <w:pStyle w:val="2"/>
        <w:rPr>
          <w:rFonts w:ascii="Times New Roman" w:eastAsia="方正小标宋_GBK" w:cs="Times New Roman"/>
          <w:color w:val="auto"/>
        </w:rPr>
      </w:pPr>
    </w:p>
    <w:p>
      <w:pPr>
        <w:pStyle w:val="2"/>
        <w:rPr>
          <w:rFonts w:ascii="Times New Roman" w:eastAsia="方正小标宋_GBK" w:cs="Times New Roman"/>
          <w:color w:val="auto"/>
        </w:rPr>
      </w:pPr>
    </w:p>
    <w:p>
      <w:pPr>
        <w:pStyle w:val="2"/>
        <w:rPr>
          <w:rFonts w:ascii="Times New Roman" w:eastAsia="方正小标宋_GBK" w:cs="Times New Roman"/>
          <w:color w:val="auto"/>
        </w:rPr>
      </w:pPr>
    </w:p>
    <w:p>
      <w:pPr>
        <w:pStyle w:val="2"/>
        <w:rPr>
          <w:rFonts w:ascii="Times New Roman" w:eastAsia="方正小标宋_GBK" w:cs="Times New Roman"/>
          <w:color w:val="auto"/>
        </w:rPr>
      </w:pPr>
    </w:p>
    <w:p>
      <w:pPr>
        <w:pStyle w:val="2"/>
        <w:rPr>
          <w:rFonts w:ascii="Times New Roman" w:eastAsia="方正小标宋_GBK" w:cs="Times New Roman"/>
          <w:color w:val="auto"/>
        </w:rPr>
      </w:pPr>
    </w:p>
    <w:p>
      <w:pPr>
        <w:pStyle w:val="2"/>
        <w:rPr>
          <w:rFonts w:ascii="Times New Roman" w:eastAsia="方正小标宋_GBK" w:cs="Times New Roman"/>
          <w:color w:val="auto"/>
        </w:rPr>
      </w:pPr>
    </w:p>
    <w:p>
      <w:pPr>
        <w:pStyle w:val="2"/>
        <w:rPr>
          <w:rFonts w:ascii="Times New Roman" w:eastAsia="方正小标宋_GBK" w:cs="Times New Roman"/>
          <w:color w:val="auto"/>
        </w:rPr>
      </w:pPr>
    </w:p>
    <w:p>
      <w:pPr>
        <w:pStyle w:val="2"/>
        <w:rPr>
          <w:rFonts w:ascii="Times New Roman" w:eastAsia="方正小标宋_GBK" w:cs="Times New Roman"/>
          <w:color w:val="auto"/>
        </w:rPr>
      </w:pPr>
    </w:p>
    <w:p>
      <w:pPr>
        <w:pStyle w:val="2"/>
        <w:rPr>
          <w:rFonts w:ascii="Times New Roman" w:eastAsia="方正小标宋_GBK" w:cs="Times New Roman"/>
          <w:color w:val="auto"/>
        </w:rPr>
      </w:pPr>
    </w:p>
    <w:p>
      <w:pPr>
        <w:pStyle w:val="2"/>
        <w:rPr>
          <w:rFonts w:ascii="Times New Roman" w:eastAsia="方正小标宋_GBK" w:cs="Times New Roman"/>
          <w:color w:val="auto"/>
        </w:rPr>
      </w:pPr>
    </w:p>
    <w:p>
      <w:pPr>
        <w:pStyle w:val="2"/>
        <w:rPr>
          <w:rFonts w:ascii="Times New Roman" w:eastAsia="方正小标宋_GBK" w:cs="Times New Roman"/>
          <w:color w:val="auto"/>
        </w:rPr>
      </w:pPr>
    </w:p>
    <w:p>
      <w:pPr>
        <w:pStyle w:val="2"/>
        <w:rPr>
          <w:rFonts w:ascii="Times New Roman" w:eastAsia="方正小标宋_GBK" w:cs="Times New Roman"/>
          <w:color w:val="auto"/>
        </w:rPr>
      </w:pPr>
    </w:p>
    <w:p>
      <w:pPr>
        <w:pStyle w:val="2"/>
        <w:rPr>
          <w:rFonts w:ascii="Times New Roman" w:eastAsia="方正小标宋_GBK" w:cs="Times New Roman"/>
          <w:color w:val="auto"/>
        </w:rPr>
      </w:pPr>
    </w:p>
    <w:p>
      <w:pPr>
        <w:pStyle w:val="2"/>
        <w:rPr>
          <w:rFonts w:ascii="Times New Roman" w:eastAsia="方正小标宋_GBK" w:cs="Times New Roman"/>
          <w:color w:val="auto"/>
        </w:rPr>
      </w:pPr>
    </w:p>
    <w:p>
      <w:pPr>
        <w:pStyle w:val="2"/>
        <w:rPr>
          <w:rFonts w:ascii="Times New Roman" w:eastAsia="方正小标宋_GBK" w:cs="Times New Roman"/>
          <w:color w:val="auto"/>
        </w:rPr>
      </w:pPr>
    </w:p>
    <w:p>
      <w:pPr>
        <w:pStyle w:val="2"/>
        <w:rPr>
          <w:rFonts w:ascii="Times New Roman" w:eastAsia="方正小标宋_GBK" w:cs="Times New Roman"/>
          <w:color w:val="auto"/>
        </w:rPr>
      </w:pPr>
    </w:p>
    <w:p>
      <w:pPr>
        <w:pStyle w:val="2"/>
        <w:rPr>
          <w:rFonts w:ascii="Times New Roman" w:eastAsia="方正小标宋_GBK" w:cs="Times New Roman"/>
          <w:color w:val="auto"/>
        </w:rPr>
      </w:pPr>
    </w:p>
    <w:p>
      <w:pPr>
        <w:pStyle w:val="2"/>
        <w:rPr>
          <w:rFonts w:ascii="Times New Roman" w:eastAsia="方正小标宋_GBK" w:cs="Times New Roman"/>
          <w:color w:val="auto"/>
        </w:rPr>
      </w:pPr>
    </w:p>
    <w:p>
      <w:pPr>
        <w:pStyle w:val="2"/>
        <w:rPr>
          <w:rFonts w:ascii="Times New Roman" w:eastAsia="方正小标宋_GBK" w:cs="Times New Roman"/>
          <w:color w:val="auto"/>
        </w:rPr>
      </w:pPr>
    </w:p>
    <w:p>
      <w:pPr>
        <w:pStyle w:val="2"/>
        <w:rPr>
          <w:rFonts w:ascii="Times New Roman" w:eastAsia="方正小标宋_GBK" w:cs="Times New Roman"/>
          <w:color w:val="auto"/>
        </w:rPr>
      </w:pPr>
    </w:p>
    <w:p>
      <w:pPr>
        <w:pStyle w:val="2"/>
        <w:rPr>
          <w:rFonts w:ascii="Times New Roman" w:eastAsia="方正小标宋_GBK" w:cs="Times New Roman"/>
          <w:color w:val="auto"/>
        </w:rPr>
      </w:pPr>
    </w:p>
    <w:p>
      <w:pPr>
        <w:pBdr>
          <w:top w:val="single" w:color="auto" w:sz="6" w:space="1"/>
          <w:bottom w:val="single" w:color="auto" w:sz="6" w:space="1"/>
        </w:pBdr>
        <w:wordWrap w:val="0"/>
        <w:jc w:val="right"/>
        <w:rPr>
          <w:color w:val="auto"/>
        </w:rPr>
      </w:pPr>
      <w:r>
        <w:rPr>
          <w:color w:val="auto"/>
        </w:rPr>
        <mc:AlternateContent>
          <mc:Choice Requires="wps">
            <w:drawing>
              <wp:anchor distT="0" distB="0" distL="114300" distR="114300" simplePos="0" relativeHeight="251659264" behindDoc="0" locked="0" layoutInCell="1" allowOverlap="1">
                <wp:simplePos x="0" y="0"/>
                <wp:positionH relativeFrom="column">
                  <wp:posOffset>63500</wp:posOffset>
                </wp:positionH>
                <wp:positionV relativeFrom="paragraph">
                  <wp:posOffset>440055</wp:posOffset>
                </wp:positionV>
                <wp:extent cx="1283970" cy="443865"/>
                <wp:effectExtent l="0" t="0" r="11430" b="13335"/>
                <wp:wrapNone/>
                <wp:docPr id="2" name="文本框 3"/>
                <wp:cNvGraphicFramePr/>
                <a:graphic xmlns:a="http://schemas.openxmlformats.org/drawingml/2006/main">
                  <a:graphicData uri="http://schemas.microsoft.com/office/word/2010/wordprocessingShape">
                    <wps:wsp>
                      <wps:cNvSpPr txBox="1"/>
                      <wps:spPr>
                        <a:xfrm>
                          <a:off x="0" y="0"/>
                          <a:ext cx="1283970" cy="443865"/>
                        </a:xfrm>
                        <a:prstGeom prst="rect">
                          <a:avLst/>
                        </a:prstGeom>
                        <a:solidFill>
                          <a:srgbClr val="FFFFFF"/>
                        </a:solidFill>
                        <a:ln w="15875">
                          <a:noFill/>
                        </a:ln>
                      </wps:spPr>
                      <wps:txbx>
                        <w:txbxContent>
                          <w:p/>
                        </w:txbxContent>
                      </wps:txbx>
                      <wps:bodyPr upright="1"/>
                    </wps:wsp>
                  </a:graphicData>
                </a:graphic>
              </wp:anchor>
            </w:drawing>
          </mc:Choice>
          <mc:Fallback>
            <w:pict>
              <v:shape id="文本框 3" o:spid="_x0000_s1026" o:spt="202" type="#_x0000_t202" style="position:absolute;left:0pt;margin-left:5pt;margin-top:34.65pt;height:34.95pt;width:101.1pt;z-index:251659264;mso-width-relative:page;mso-height-relative:page;" fillcolor="#FFFFFF" filled="t" stroked="f" coordsize="21600,21600" o:gfxdata="UEsDBAoAAAAAAIdO4kAAAAAAAAAAAAAAAAAEAAAAZHJzL1BLAwQUAAAACACHTuJAhJrEi9cAAAAJ&#10;AQAADwAAAGRycy9kb3ducmV2LnhtbE2Py07DMBBF90j8gzVI7Kgdtwo0xKnUSrBBXVBYwM5NpkmE&#10;PY5s98HfM6xgeXVGd86tVxfvxAljGgMZKGYKBFIbupF6A+9vT3cPIFK21FkXCA18Y4JVc31V26oL&#10;Z3rF0y73gksoVdbAkPNUSZnaAb1NszAhMTuE6G3mGHvZRXvmcu+kVqqU3o7EHwY74WbA9mt39AbS&#10;s12/4GK9vd/i5jOmcpHc4cOY25tCPYLIeMl/x/Crz+rQsNM+HKlLwnFWPCUbKJdzEMx1oTWIPYP5&#10;UoNsavl/QfMDUEsDBBQAAAAIAIdO4kCsWhnByQEAAIEDAAAOAAAAZHJzL2Uyb0RvYy54bWytk8GO&#10;0zAQhu9IvIPlO0233e6WqOlKUJULAqSFB3Adp7Fke6yx26QvAG/AiQt3nqvPwdjJdmG57IEcEtsz&#10;/jz/P87qrreGHRUGDa7iV5MpZ8pJqLXbV/zL5+2rJWchClcLA05V/KQCv1u/fLHqfKlm0IKpFTKC&#10;uFB2vuJtjL4siiBbZUWYgFeOgg2gFZGmuC9qFB3RrSlm0+lN0QHWHkGqEGh1MwT5SMTnAKFptFQb&#10;kAerXByoqIyIJCm02ge+ztU2jZLxY9MEFZmpOCmN+U2H0HiX3sV6Jco9Ct9qOZYgnlPCE01WaEeH&#10;XlAbEQU7oP4HZbVECNDEiQRbDEKyI6TiavrEm/tWeJW1kNXBX0wP/w8rPxw/IdN1xWecOWGp4efv&#10;384/fp1/fmXzZE/nQ0lZ957yYv8Gero0D+uBFpPqvkGbvqSHUZzMPV3MVX1kMm2aLeevbykkKXZ9&#10;PV/eLBKmeNztMcR3CixLg4ojNS97Ko7vQxxSH1LSYQGMrrfamDzB/e6tQXYU1Ohtfkb6X2nGsY5K&#10;WSxvFxntIAEGtnFUTVI7qEqj2O/60YId1Cdy4OBR71uqLnuQ06kzWcZ4i1Lr/5xn6OOfs/4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hJrEi9cAAAAJAQAADwAAAAAAAAABACAAAAAiAAAAZHJzL2Rv&#10;d25yZXYueG1sUEsBAhQAFAAAAAgAh07iQKxaGcHJAQAAgQMAAA4AAAAAAAAAAQAgAAAAJgEAAGRy&#10;cy9lMm9Eb2MueG1sUEsFBgAAAAAGAAYAWQEAAGEFAAAAAA==&#10;">
                <v:fill on="t" focussize="0,0"/>
                <v:stroke on="f" weight="1.25pt"/>
                <v:imagedata o:title=""/>
                <o:lock v:ext="edit" aspectratio="f"/>
                <v:textbox>
                  <w:txbxContent>
                    <w:p/>
                  </w:txbxContent>
                </v:textbox>
              </v:shape>
            </w:pict>
          </mc:Fallback>
        </mc:AlternateContent>
      </w:r>
      <w:r>
        <w:rPr>
          <w:color w:val="auto"/>
          <w:sz w:val="28"/>
          <w:szCs w:val="28"/>
        </w:rPr>
        <w:t xml:space="preserve">  郑州市全民技能振兴工程领导小组办公室     202</w:t>
      </w:r>
      <w:r>
        <w:rPr>
          <w:rFonts w:hint="eastAsia"/>
          <w:color w:val="auto"/>
          <w:sz w:val="28"/>
          <w:szCs w:val="28"/>
        </w:rPr>
        <w:t>1</w:t>
      </w:r>
      <w:r>
        <w:rPr>
          <w:color w:val="auto"/>
          <w:sz w:val="28"/>
          <w:szCs w:val="28"/>
        </w:rPr>
        <w:t>年</w:t>
      </w:r>
      <w:r>
        <w:rPr>
          <w:rFonts w:hint="eastAsia"/>
          <w:color w:val="auto"/>
          <w:sz w:val="28"/>
          <w:szCs w:val="28"/>
        </w:rPr>
        <w:t>3</w:t>
      </w:r>
      <w:r>
        <w:rPr>
          <w:color w:val="auto"/>
          <w:sz w:val="28"/>
          <w:szCs w:val="28"/>
        </w:rPr>
        <w:t>月</w:t>
      </w:r>
      <w:r>
        <w:rPr>
          <w:rFonts w:hint="eastAsia"/>
          <w:color w:val="auto"/>
          <w:sz w:val="28"/>
          <w:szCs w:val="28"/>
        </w:rPr>
        <w:t xml:space="preserve">  </w:t>
      </w:r>
      <w:r>
        <w:rPr>
          <w:color w:val="auto"/>
          <w:sz w:val="28"/>
          <w:szCs w:val="28"/>
        </w:rPr>
        <w:t>日印发</w:t>
      </w:r>
      <w:r>
        <w:rPr>
          <w:color w:val="auto"/>
        </w:rPr>
        <w:t xml:space="preserve">  </w:t>
      </w:r>
    </w:p>
    <w:sectPr>
      <w:pgSz w:w="11906" w:h="16838"/>
      <w:pgMar w:top="1417" w:right="1474" w:bottom="1500" w:left="1588" w:header="851" w:footer="1587" w:gutter="0"/>
      <w:cols w:space="0" w:num="1"/>
      <w:rtlGutter w:val="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文星标宋">
    <w:altName w:val="黑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ind w:left="320" w:leftChars="100" w:right="320" w:rightChars="100"/>
      <w:rPr>
        <w:rStyle w:val="11"/>
        <w:rFonts w:ascii="宋体" w:hAnsi="宋体" w:eastAsia="宋体"/>
        <w:sz w:val="28"/>
        <w:szCs w:val="28"/>
      </w:rPr>
    </w:pPr>
    <w:r>
      <w:rPr>
        <w:rStyle w:val="11"/>
        <w:rFonts w:ascii="宋体" w:hAnsi="宋体" w:eastAsia="宋体"/>
        <w:sz w:val="28"/>
        <w:szCs w:val="28"/>
      </w:rPr>
      <w:t xml:space="preserve">— </w:t>
    </w:r>
    <w:r>
      <w:rPr>
        <w:rStyle w:val="11"/>
        <w:rFonts w:ascii="宋体" w:hAnsi="宋体" w:eastAsia="宋体"/>
        <w:sz w:val="28"/>
        <w:szCs w:val="28"/>
      </w:rPr>
      <w:fldChar w:fldCharType="begin"/>
    </w:r>
    <w:r>
      <w:rPr>
        <w:rStyle w:val="11"/>
        <w:rFonts w:ascii="宋体" w:hAnsi="宋体" w:eastAsia="宋体"/>
        <w:sz w:val="28"/>
        <w:szCs w:val="28"/>
      </w:rPr>
      <w:instrText xml:space="preserve">PAGE  </w:instrText>
    </w:r>
    <w:r>
      <w:rPr>
        <w:rStyle w:val="11"/>
        <w:rFonts w:ascii="宋体" w:hAnsi="宋体" w:eastAsia="宋体"/>
        <w:sz w:val="28"/>
        <w:szCs w:val="28"/>
      </w:rPr>
      <w:fldChar w:fldCharType="separate"/>
    </w:r>
    <w:r>
      <w:rPr>
        <w:rStyle w:val="11"/>
        <w:rFonts w:ascii="宋体" w:hAnsi="宋体" w:eastAsia="宋体"/>
        <w:sz w:val="28"/>
        <w:szCs w:val="28"/>
      </w:rPr>
      <w:t>8</w:t>
    </w:r>
    <w:r>
      <w:rPr>
        <w:rStyle w:val="11"/>
        <w:rFonts w:ascii="宋体" w:hAnsi="宋体" w:eastAsia="宋体"/>
        <w:sz w:val="28"/>
        <w:szCs w:val="28"/>
      </w:rPr>
      <w:fldChar w:fldCharType="end"/>
    </w:r>
    <w:r>
      <w:rPr>
        <w:rStyle w:val="11"/>
        <w:rFonts w:ascii="宋体" w:hAnsi="宋体" w:eastAsia="宋体"/>
        <w:sz w:val="28"/>
        <w:szCs w:val="28"/>
      </w:rPr>
      <w:t xml:space="preserve"> — </w:t>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BAAB2C"/>
    <w:multiLevelType w:val="singleLevel"/>
    <w:tmpl w:val="E2BAAB2C"/>
    <w:lvl w:ilvl="0" w:tentative="0">
      <w:start w:val="3"/>
      <w:numFmt w:val="chineseCounting"/>
      <w:suff w:val="nothing"/>
      <w:lvlText w:val="%1、"/>
      <w:lvlJc w:val="left"/>
      <w:rPr>
        <w:rFonts w:hint="eastAsia"/>
      </w:rPr>
    </w:lvl>
  </w:abstractNum>
  <w:abstractNum w:abstractNumId="1">
    <w:nsid w:val="EFD7D1CD"/>
    <w:multiLevelType w:val="singleLevel"/>
    <w:tmpl w:val="EFD7D1CD"/>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58"/>
  <w:drawingGridVerticalSpacing w:val="579"/>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B8E"/>
    <w:rsid w:val="00003D08"/>
    <w:rsid w:val="000059ED"/>
    <w:rsid w:val="00007B6D"/>
    <w:rsid w:val="00024A94"/>
    <w:rsid w:val="00032D17"/>
    <w:rsid w:val="00050619"/>
    <w:rsid w:val="000556CF"/>
    <w:rsid w:val="000563B1"/>
    <w:rsid w:val="00067D65"/>
    <w:rsid w:val="00093500"/>
    <w:rsid w:val="000A6305"/>
    <w:rsid w:val="000A7E60"/>
    <w:rsid w:val="000B2C62"/>
    <w:rsid w:val="000C48A4"/>
    <w:rsid w:val="000C4CFB"/>
    <w:rsid w:val="000D4516"/>
    <w:rsid w:val="000D47A4"/>
    <w:rsid w:val="000E07BB"/>
    <w:rsid w:val="000E5EC4"/>
    <w:rsid w:val="000E6176"/>
    <w:rsid w:val="000F6039"/>
    <w:rsid w:val="00110A04"/>
    <w:rsid w:val="0012366F"/>
    <w:rsid w:val="00123696"/>
    <w:rsid w:val="0013128C"/>
    <w:rsid w:val="00144592"/>
    <w:rsid w:val="00147B60"/>
    <w:rsid w:val="00151C8E"/>
    <w:rsid w:val="00155B54"/>
    <w:rsid w:val="00156CCF"/>
    <w:rsid w:val="00157424"/>
    <w:rsid w:val="0016149A"/>
    <w:rsid w:val="001768C0"/>
    <w:rsid w:val="001846F8"/>
    <w:rsid w:val="00186E28"/>
    <w:rsid w:val="00187D84"/>
    <w:rsid w:val="00192096"/>
    <w:rsid w:val="00193001"/>
    <w:rsid w:val="001933B7"/>
    <w:rsid w:val="00193606"/>
    <w:rsid w:val="00196174"/>
    <w:rsid w:val="001969AF"/>
    <w:rsid w:val="001A1E17"/>
    <w:rsid w:val="001B1B19"/>
    <w:rsid w:val="001B3CDA"/>
    <w:rsid w:val="001B6B27"/>
    <w:rsid w:val="001C3E3D"/>
    <w:rsid w:val="001C481E"/>
    <w:rsid w:val="001D2865"/>
    <w:rsid w:val="001D6C60"/>
    <w:rsid w:val="001F26EB"/>
    <w:rsid w:val="00200090"/>
    <w:rsid w:val="00200B9E"/>
    <w:rsid w:val="0022087B"/>
    <w:rsid w:val="002302AC"/>
    <w:rsid w:val="00234F1F"/>
    <w:rsid w:val="002361BD"/>
    <w:rsid w:val="00236D8F"/>
    <w:rsid w:val="00237713"/>
    <w:rsid w:val="00241D80"/>
    <w:rsid w:val="002603CF"/>
    <w:rsid w:val="00261CBE"/>
    <w:rsid w:val="002665F4"/>
    <w:rsid w:val="00272AE6"/>
    <w:rsid w:val="002742A2"/>
    <w:rsid w:val="002852C9"/>
    <w:rsid w:val="00286856"/>
    <w:rsid w:val="0029492A"/>
    <w:rsid w:val="002A76B4"/>
    <w:rsid w:val="002B4731"/>
    <w:rsid w:val="002C34D0"/>
    <w:rsid w:val="002C7F21"/>
    <w:rsid w:val="002D2B8A"/>
    <w:rsid w:val="002E0BF7"/>
    <w:rsid w:val="002E7F42"/>
    <w:rsid w:val="002F5128"/>
    <w:rsid w:val="0031210F"/>
    <w:rsid w:val="00314789"/>
    <w:rsid w:val="00321854"/>
    <w:rsid w:val="00324331"/>
    <w:rsid w:val="0032504E"/>
    <w:rsid w:val="003307D2"/>
    <w:rsid w:val="00342496"/>
    <w:rsid w:val="00344BBF"/>
    <w:rsid w:val="0035435F"/>
    <w:rsid w:val="00375BB6"/>
    <w:rsid w:val="00381F4A"/>
    <w:rsid w:val="00393DAA"/>
    <w:rsid w:val="00393DB5"/>
    <w:rsid w:val="00396857"/>
    <w:rsid w:val="003C165E"/>
    <w:rsid w:val="003C4368"/>
    <w:rsid w:val="003C75FB"/>
    <w:rsid w:val="003E38AF"/>
    <w:rsid w:val="003E4ABD"/>
    <w:rsid w:val="003E6D12"/>
    <w:rsid w:val="003F1E5C"/>
    <w:rsid w:val="003F6210"/>
    <w:rsid w:val="003F63D5"/>
    <w:rsid w:val="0040761F"/>
    <w:rsid w:val="0042705E"/>
    <w:rsid w:val="00432885"/>
    <w:rsid w:val="004431E9"/>
    <w:rsid w:val="00445FF9"/>
    <w:rsid w:val="004713C7"/>
    <w:rsid w:val="004770DB"/>
    <w:rsid w:val="00484598"/>
    <w:rsid w:val="0048705E"/>
    <w:rsid w:val="00497F17"/>
    <w:rsid w:val="004A555A"/>
    <w:rsid w:val="004D63E2"/>
    <w:rsid w:val="004E4A98"/>
    <w:rsid w:val="004F5206"/>
    <w:rsid w:val="005034B1"/>
    <w:rsid w:val="005076F6"/>
    <w:rsid w:val="00510D72"/>
    <w:rsid w:val="005157FA"/>
    <w:rsid w:val="005168CB"/>
    <w:rsid w:val="00517C75"/>
    <w:rsid w:val="00535B0D"/>
    <w:rsid w:val="00537A0F"/>
    <w:rsid w:val="005842BD"/>
    <w:rsid w:val="00586166"/>
    <w:rsid w:val="005B7189"/>
    <w:rsid w:val="005D705E"/>
    <w:rsid w:val="005D783B"/>
    <w:rsid w:val="005E0838"/>
    <w:rsid w:val="005E5E8E"/>
    <w:rsid w:val="005E7214"/>
    <w:rsid w:val="006017B3"/>
    <w:rsid w:val="00605934"/>
    <w:rsid w:val="00612F2B"/>
    <w:rsid w:val="0061540F"/>
    <w:rsid w:val="00617371"/>
    <w:rsid w:val="00620F47"/>
    <w:rsid w:val="00637067"/>
    <w:rsid w:val="00652C0C"/>
    <w:rsid w:val="0067083E"/>
    <w:rsid w:val="0067368C"/>
    <w:rsid w:val="0067572D"/>
    <w:rsid w:val="006A248F"/>
    <w:rsid w:val="006C3300"/>
    <w:rsid w:val="006C5C9E"/>
    <w:rsid w:val="006D34BA"/>
    <w:rsid w:val="006E67B5"/>
    <w:rsid w:val="00703303"/>
    <w:rsid w:val="0070655F"/>
    <w:rsid w:val="00725853"/>
    <w:rsid w:val="0073204C"/>
    <w:rsid w:val="00735890"/>
    <w:rsid w:val="00737B8E"/>
    <w:rsid w:val="007536E9"/>
    <w:rsid w:val="00756129"/>
    <w:rsid w:val="007646ED"/>
    <w:rsid w:val="00775FE7"/>
    <w:rsid w:val="0079213D"/>
    <w:rsid w:val="00793218"/>
    <w:rsid w:val="00797C80"/>
    <w:rsid w:val="007A3EA7"/>
    <w:rsid w:val="007B2E32"/>
    <w:rsid w:val="007C0970"/>
    <w:rsid w:val="007C3E0B"/>
    <w:rsid w:val="007C6E11"/>
    <w:rsid w:val="007D4163"/>
    <w:rsid w:val="007E5A1A"/>
    <w:rsid w:val="007F547C"/>
    <w:rsid w:val="007F63FB"/>
    <w:rsid w:val="0081231E"/>
    <w:rsid w:val="00817286"/>
    <w:rsid w:val="00835842"/>
    <w:rsid w:val="00842D61"/>
    <w:rsid w:val="008447DF"/>
    <w:rsid w:val="00846F93"/>
    <w:rsid w:val="00857996"/>
    <w:rsid w:val="008579E7"/>
    <w:rsid w:val="00857D02"/>
    <w:rsid w:val="0086329A"/>
    <w:rsid w:val="008653DB"/>
    <w:rsid w:val="00871371"/>
    <w:rsid w:val="008723DD"/>
    <w:rsid w:val="008723F7"/>
    <w:rsid w:val="00873EC5"/>
    <w:rsid w:val="00873F3D"/>
    <w:rsid w:val="0087666E"/>
    <w:rsid w:val="00880AF5"/>
    <w:rsid w:val="008968F1"/>
    <w:rsid w:val="008A1CED"/>
    <w:rsid w:val="008A2266"/>
    <w:rsid w:val="008A38AD"/>
    <w:rsid w:val="008B654E"/>
    <w:rsid w:val="008B7099"/>
    <w:rsid w:val="008D7802"/>
    <w:rsid w:val="008E0B8B"/>
    <w:rsid w:val="008E233B"/>
    <w:rsid w:val="008F1F0E"/>
    <w:rsid w:val="0090095F"/>
    <w:rsid w:val="009038CD"/>
    <w:rsid w:val="00904C2E"/>
    <w:rsid w:val="009051DA"/>
    <w:rsid w:val="00910C52"/>
    <w:rsid w:val="00915AFD"/>
    <w:rsid w:val="00926483"/>
    <w:rsid w:val="00935D1D"/>
    <w:rsid w:val="00945282"/>
    <w:rsid w:val="009529C1"/>
    <w:rsid w:val="00964E45"/>
    <w:rsid w:val="00966709"/>
    <w:rsid w:val="00975866"/>
    <w:rsid w:val="009806F2"/>
    <w:rsid w:val="00983596"/>
    <w:rsid w:val="00986FA9"/>
    <w:rsid w:val="009972E0"/>
    <w:rsid w:val="009A1F30"/>
    <w:rsid w:val="009A36B6"/>
    <w:rsid w:val="009B35D2"/>
    <w:rsid w:val="009B3ABA"/>
    <w:rsid w:val="009B422B"/>
    <w:rsid w:val="009E01A3"/>
    <w:rsid w:val="009E4570"/>
    <w:rsid w:val="009F5F0A"/>
    <w:rsid w:val="00A06F74"/>
    <w:rsid w:val="00A10EF6"/>
    <w:rsid w:val="00A137D4"/>
    <w:rsid w:val="00A461E7"/>
    <w:rsid w:val="00A875A6"/>
    <w:rsid w:val="00A9322E"/>
    <w:rsid w:val="00AA1310"/>
    <w:rsid w:val="00AA1A6D"/>
    <w:rsid w:val="00AA5226"/>
    <w:rsid w:val="00AA5503"/>
    <w:rsid w:val="00AA7D23"/>
    <w:rsid w:val="00AB0EF5"/>
    <w:rsid w:val="00AD43AB"/>
    <w:rsid w:val="00AE1804"/>
    <w:rsid w:val="00AE61C2"/>
    <w:rsid w:val="00AF0489"/>
    <w:rsid w:val="00AF373E"/>
    <w:rsid w:val="00AF6C4B"/>
    <w:rsid w:val="00AF7647"/>
    <w:rsid w:val="00B02998"/>
    <w:rsid w:val="00B0416F"/>
    <w:rsid w:val="00B043A4"/>
    <w:rsid w:val="00B06E77"/>
    <w:rsid w:val="00B238D5"/>
    <w:rsid w:val="00B25B78"/>
    <w:rsid w:val="00B30448"/>
    <w:rsid w:val="00B45BFF"/>
    <w:rsid w:val="00B56D4A"/>
    <w:rsid w:val="00B57203"/>
    <w:rsid w:val="00B57B2C"/>
    <w:rsid w:val="00B8214C"/>
    <w:rsid w:val="00B84E75"/>
    <w:rsid w:val="00BA63BC"/>
    <w:rsid w:val="00BB2F86"/>
    <w:rsid w:val="00BC052F"/>
    <w:rsid w:val="00BC1612"/>
    <w:rsid w:val="00BD0060"/>
    <w:rsid w:val="00BE0576"/>
    <w:rsid w:val="00BF2BED"/>
    <w:rsid w:val="00BF7575"/>
    <w:rsid w:val="00C068A8"/>
    <w:rsid w:val="00C14F90"/>
    <w:rsid w:val="00C207E5"/>
    <w:rsid w:val="00C253E2"/>
    <w:rsid w:val="00C52B15"/>
    <w:rsid w:val="00C5501F"/>
    <w:rsid w:val="00C56DEC"/>
    <w:rsid w:val="00C57E09"/>
    <w:rsid w:val="00C64A58"/>
    <w:rsid w:val="00C75538"/>
    <w:rsid w:val="00C75AF0"/>
    <w:rsid w:val="00C846A9"/>
    <w:rsid w:val="00C86FAE"/>
    <w:rsid w:val="00C87CBA"/>
    <w:rsid w:val="00C95DB0"/>
    <w:rsid w:val="00CB4BCE"/>
    <w:rsid w:val="00CB557A"/>
    <w:rsid w:val="00CD10F7"/>
    <w:rsid w:val="00CD4949"/>
    <w:rsid w:val="00CD68DB"/>
    <w:rsid w:val="00CD7AF8"/>
    <w:rsid w:val="00CF3EA4"/>
    <w:rsid w:val="00CF52E3"/>
    <w:rsid w:val="00CF5C4C"/>
    <w:rsid w:val="00D114FF"/>
    <w:rsid w:val="00D11CFB"/>
    <w:rsid w:val="00D1451A"/>
    <w:rsid w:val="00D20942"/>
    <w:rsid w:val="00D23FAC"/>
    <w:rsid w:val="00D246F4"/>
    <w:rsid w:val="00D25A12"/>
    <w:rsid w:val="00D303E1"/>
    <w:rsid w:val="00D41182"/>
    <w:rsid w:val="00D45909"/>
    <w:rsid w:val="00D501A2"/>
    <w:rsid w:val="00D50A5A"/>
    <w:rsid w:val="00D55F89"/>
    <w:rsid w:val="00D577A4"/>
    <w:rsid w:val="00D603BE"/>
    <w:rsid w:val="00D7030B"/>
    <w:rsid w:val="00D83103"/>
    <w:rsid w:val="00D85C56"/>
    <w:rsid w:val="00D870D8"/>
    <w:rsid w:val="00D902B6"/>
    <w:rsid w:val="00D9197A"/>
    <w:rsid w:val="00D953A9"/>
    <w:rsid w:val="00DB3972"/>
    <w:rsid w:val="00DC752A"/>
    <w:rsid w:val="00DD6733"/>
    <w:rsid w:val="00DE7143"/>
    <w:rsid w:val="00E11F28"/>
    <w:rsid w:val="00E37A89"/>
    <w:rsid w:val="00E53372"/>
    <w:rsid w:val="00E55ABD"/>
    <w:rsid w:val="00E561C2"/>
    <w:rsid w:val="00E56537"/>
    <w:rsid w:val="00E565E8"/>
    <w:rsid w:val="00E5662D"/>
    <w:rsid w:val="00E56B2C"/>
    <w:rsid w:val="00E60435"/>
    <w:rsid w:val="00E67E16"/>
    <w:rsid w:val="00E8211C"/>
    <w:rsid w:val="00E9549A"/>
    <w:rsid w:val="00EA1801"/>
    <w:rsid w:val="00EB1AB7"/>
    <w:rsid w:val="00EB63CB"/>
    <w:rsid w:val="00EC7C2C"/>
    <w:rsid w:val="00EE19F8"/>
    <w:rsid w:val="00EE2D16"/>
    <w:rsid w:val="00EF4107"/>
    <w:rsid w:val="00F024F8"/>
    <w:rsid w:val="00F273CD"/>
    <w:rsid w:val="00F3690E"/>
    <w:rsid w:val="00F373D8"/>
    <w:rsid w:val="00F47675"/>
    <w:rsid w:val="00F70B2C"/>
    <w:rsid w:val="00F730A4"/>
    <w:rsid w:val="00F751F2"/>
    <w:rsid w:val="00F76A90"/>
    <w:rsid w:val="00F84C6D"/>
    <w:rsid w:val="00F87A4F"/>
    <w:rsid w:val="00F9671F"/>
    <w:rsid w:val="00FA524A"/>
    <w:rsid w:val="00FB0E33"/>
    <w:rsid w:val="00FB6C23"/>
    <w:rsid w:val="00FB72D6"/>
    <w:rsid w:val="00FC3E26"/>
    <w:rsid w:val="00FD3CC3"/>
    <w:rsid w:val="00FD711A"/>
    <w:rsid w:val="00FF5282"/>
    <w:rsid w:val="01277251"/>
    <w:rsid w:val="013F0E37"/>
    <w:rsid w:val="01A654D1"/>
    <w:rsid w:val="01AA63AE"/>
    <w:rsid w:val="01B97697"/>
    <w:rsid w:val="01E514D0"/>
    <w:rsid w:val="02444028"/>
    <w:rsid w:val="03076EA3"/>
    <w:rsid w:val="03373752"/>
    <w:rsid w:val="049D0190"/>
    <w:rsid w:val="04AF63FC"/>
    <w:rsid w:val="0517036E"/>
    <w:rsid w:val="05BF2D22"/>
    <w:rsid w:val="06B43575"/>
    <w:rsid w:val="09206344"/>
    <w:rsid w:val="093A360F"/>
    <w:rsid w:val="0A0477E1"/>
    <w:rsid w:val="0A391035"/>
    <w:rsid w:val="0A8E2781"/>
    <w:rsid w:val="0B87091F"/>
    <w:rsid w:val="0BB13049"/>
    <w:rsid w:val="0C7E112E"/>
    <w:rsid w:val="0C841F57"/>
    <w:rsid w:val="0EA3334E"/>
    <w:rsid w:val="0F162A17"/>
    <w:rsid w:val="0F27422C"/>
    <w:rsid w:val="0FA239D8"/>
    <w:rsid w:val="0FAD4B5B"/>
    <w:rsid w:val="100B3543"/>
    <w:rsid w:val="10DD54D4"/>
    <w:rsid w:val="113E402C"/>
    <w:rsid w:val="11C35C8B"/>
    <w:rsid w:val="11DC6053"/>
    <w:rsid w:val="12F201C7"/>
    <w:rsid w:val="1489640C"/>
    <w:rsid w:val="14991EED"/>
    <w:rsid w:val="14E73102"/>
    <w:rsid w:val="167370C6"/>
    <w:rsid w:val="17611A0C"/>
    <w:rsid w:val="17A906CC"/>
    <w:rsid w:val="19167427"/>
    <w:rsid w:val="19750622"/>
    <w:rsid w:val="19A95D9B"/>
    <w:rsid w:val="1AE00735"/>
    <w:rsid w:val="1C8E006E"/>
    <w:rsid w:val="1C90744D"/>
    <w:rsid w:val="1C960E30"/>
    <w:rsid w:val="1D86564C"/>
    <w:rsid w:val="1DF94F9F"/>
    <w:rsid w:val="1F5177AB"/>
    <w:rsid w:val="20537FB5"/>
    <w:rsid w:val="208F5109"/>
    <w:rsid w:val="211C6EE0"/>
    <w:rsid w:val="21482BBF"/>
    <w:rsid w:val="21F41A38"/>
    <w:rsid w:val="231059E8"/>
    <w:rsid w:val="237E3751"/>
    <w:rsid w:val="23B7583D"/>
    <w:rsid w:val="242632EF"/>
    <w:rsid w:val="243362A9"/>
    <w:rsid w:val="247B6734"/>
    <w:rsid w:val="24A402AA"/>
    <w:rsid w:val="255A581F"/>
    <w:rsid w:val="25776F97"/>
    <w:rsid w:val="263C42FF"/>
    <w:rsid w:val="27417792"/>
    <w:rsid w:val="277838B5"/>
    <w:rsid w:val="281040B7"/>
    <w:rsid w:val="285857FF"/>
    <w:rsid w:val="28862A69"/>
    <w:rsid w:val="29230705"/>
    <w:rsid w:val="29825AE3"/>
    <w:rsid w:val="2A0B48D3"/>
    <w:rsid w:val="2C253364"/>
    <w:rsid w:val="2C263990"/>
    <w:rsid w:val="2C277496"/>
    <w:rsid w:val="2C9F0BB4"/>
    <w:rsid w:val="2CE728F7"/>
    <w:rsid w:val="2D4F7CCB"/>
    <w:rsid w:val="2E4754B7"/>
    <w:rsid w:val="2E4F1D5E"/>
    <w:rsid w:val="2F694133"/>
    <w:rsid w:val="2F6F621F"/>
    <w:rsid w:val="2F8129D6"/>
    <w:rsid w:val="2FDE24F2"/>
    <w:rsid w:val="2FF52D10"/>
    <w:rsid w:val="3012612E"/>
    <w:rsid w:val="30803357"/>
    <w:rsid w:val="32F03ECA"/>
    <w:rsid w:val="34C571C6"/>
    <w:rsid w:val="369C143A"/>
    <w:rsid w:val="37770373"/>
    <w:rsid w:val="37B64782"/>
    <w:rsid w:val="38203034"/>
    <w:rsid w:val="38227133"/>
    <w:rsid w:val="383F28FB"/>
    <w:rsid w:val="38471D13"/>
    <w:rsid w:val="387C2950"/>
    <w:rsid w:val="38AF3A03"/>
    <w:rsid w:val="38CB2396"/>
    <w:rsid w:val="38FD4C72"/>
    <w:rsid w:val="39927131"/>
    <w:rsid w:val="3A3B432D"/>
    <w:rsid w:val="3A84512D"/>
    <w:rsid w:val="3AC52A01"/>
    <w:rsid w:val="3B6F0811"/>
    <w:rsid w:val="3BA004A5"/>
    <w:rsid w:val="3C182A32"/>
    <w:rsid w:val="3E106880"/>
    <w:rsid w:val="3F2D5841"/>
    <w:rsid w:val="3FD41A7D"/>
    <w:rsid w:val="4036126E"/>
    <w:rsid w:val="40CD6770"/>
    <w:rsid w:val="41DB617C"/>
    <w:rsid w:val="427F799B"/>
    <w:rsid w:val="42840127"/>
    <w:rsid w:val="42F14F3D"/>
    <w:rsid w:val="434C2608"/>
    <w:rsid w:val="43867335"/>
    <w:rsid w:val="43A178C3"/>
    <w:rsid w:val="44C03630"/>
    <w:rsid w:val="45556C0A"/>
    <w:rsid w:val="455E4029"/>
    <w:rsid w:val="465D7EB0"/>
    <w:rsid w:val="46725E48"/>
    <w:rsid w:val="47272F3E"/>
    <w:rsid w:val="486C1926"/>
    <w:rsid w:val="48920801"/>
    <w:rsid w:val="49491F7A"/>
    <w:rsid w:val="495A25DC"/>
    <w:rsid w:val="4976406D"/>
    <w:rsid w:val="4A2C5962"/>
    <w:rsid w:val="4A770997"/>
    <w:rsid w:val="4C19233F"/>
    <w:rsid w:val="4C714ADC"/>
    <w:rsid w:val="4D6B04DB"/>
    <w:rsid w:val="4DFD48F4"/>
    <w:rsid w:val="4F05557C"/>
    <w:rsid w:val="4F6F487E"/>
    <w:rsid w:val="4FB0470F"/>
    <w:rsid w:val="50425159"/>
    <w:rsid w:val="519D260C"/>
    <w:rsid w:val="523D0DBC"/>
    <w:rsid w:val="5246428F"/>
    <w:rsid w:val="524E544F"/>
    <w:rsid w:val="53156875"/>
    <w:rsid w:val="54266771"/>
    <w:rsid w:val="54AF5D06"/>
    <w:rsid w:val="58A9345D"/>
    <w:rsid w:val="58C01782"/>
    <w:rsid w:val="58C24AAC"/>
    <w:rsid w:val="59145503"/>
    <w:rsid w:val="594C519C"/>
    <w:rsid w:val="5A805D17"/>
    <w:rsid w:val="5CFB2BF1"/>
    <w:rsid w:val="5D71336F"/>
    <w:rsid w:val="5E9E2B7F"/>
    <w:rsid w:val="5F53658C"/>
    <w:rsid w:val="5F786DF3"/>
    <w:rsid w:val="60431F68"/>
    <w:rsid w:val="611032A7"/>
    <w:rsid w:val="62013155"/>
    <w:rsid w:val="62A93A48"/>
    <w:rsid w:val="64B80577"/>
    <w:rsid w:val="64BE0F8B"/>
    <w:rsid w:val="64D65420"/>
    <w:rsid w:val="658A37E5"/>
    <w:rsid w:val="66550065"/>
    <w:rsid w:val="66DF4EBB"/>
    <w:rsid w:val="6703288B"/>
    <w:rsid w:val="67EA3BF8"/>
    <w:rsid w:val="69E638DB"/>
    <w:rsid w:val="69FC61A7"/>
    <w:rsid w:val="6A466B4F"/>
    <w:rsid w:val="6AE71F1A"/>
    <w:rsid w:val="6AF154FF"/>
    <w:rsid w:val="6B720F8C"/>
    <w:rsid w:val="6BAD4A5E"/>
    <w:rsid w:val="6BC813BB"/>
    <w:rsid w:val="6C04596F"/>
    <w:rsid w:val="6C220880"/>
    <w:rsid w:val="6C567FCB"/>
    <w:rsid w:val="6C9E3012"/>
    <w:rsid w:val="6E194509"/>
    <w:rsid w:val="6E4C47C7"/>
    <w:rsid w:val="6EA36EE7"/>
    <w:rsid w:val="6EA378CD"/>
    <w:rsid w:val="6EF4716E"/>
    <w:rsid w:val="6FCD20C4"/>
    <w:rsid w:val="710167FA"/>
    <w:rsid w:val="714117B2"/>
    <w:rsid w:val="716C37D6"/>
    <w:rsid w:val="746E28B7"/>
    <w:rsid w:val="74FA02CB"/>
    <w:rsid w:val="76136678"/>
    <w:rsid w:val="774E22D3"/>
    <w:rsid w:val="77C21A4B"/>
    <w:rsid w:val="78055EE5"/>
    <w:rsid w:val="79343C0D"/>
    <w:rsid w:val="796679E3"/>
    <w:rsid w:val="799B729C"/>
    <w:rsid w:val="79B90B0F"/>
    <w:rsid w:val="79C61BD3"/>
    <w:rsid w:val="7A636312"/>
    <w:rsid w:val="7A6D685E"/>
    <w:rsid w:val="7A875D01"/>
    <w:rsid w:val="7BEB0538"/>
    <w:rsid w:val="7BFC7EED"/>
    <w:rsid w:val="7C8847D4"/>
    <w:rsid w:val="7E0310BB"/>
    <w:rsid w:val="7E07284A"/>
    <w:rsid w:val="7EBC29D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qFormat="1" w:uiPriority="99" w:semiHidden="0"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iPriority="99" w:semiHidden="0"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3">
    <w:name w:val="heading 1"/>
    <w:basedOn w:val="1"/>
    <w:next w:val="1"/>
    <w:qFormat/>
    <w:locked/>
    <w:uiPriority w:val="9"/>
    <w:pPr>
      <w:keepNext/>
      <w:keepLines/>
      <w:spacing w:before="340" w:after="330" w:line="576" w:lineRule="auto"/>
      <w:outlineLvl w:val="0"/>
    </w:pPr>
    <w:rPr>
      <w:b/>
      <w:kern w:val="44"/>
      <w:sz w:val="44"/>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locked/>
    <w:uiPriority w:val="99"/>
    <w:rPr>
      <w:rFonts w:ascii="仿宋" w:eastAsia="仿宋" w:cs="仿宋"/>
      <w:kern w:val="0"/>
      <w:sz w:val="24"/>
    </w:rPr>
  </w:style>
  <w:style w:type="paragraph" w:styleId="4">
    <w:name w:val="Date"/>
    <w:basedOn w:val="1"/>
    <w:next w:val="1"/>
    <w:link w:val="13"/>
    <w:qFormat/>
    <w:uiPriority w:val="99"/>
    <w:pPr>
      <w:ind w:left="100" w:leftChars="2500"/>
    </w:pPr>
  </w:style>
  <w:style w:type="paragraph" w:styleId="5">
    <w:name w:val="footer"/>
    <w:basedOn w:val="1"/>
    <w:link w:val="14"/>
    <w:qFormat/>
    <w:uiPriority w:val="99"/>
    <w:pPr>
      <w:tabs>
        <w:tab w:val="center" w:pos="4153"/>
        <w:tab w:val="right" w:pos="8306"/>
      </w:tabs>
      <w:snapToGrid w:val="0"/>
      <w:jc w:val="left"/>
    </w:pPr>
    <w:rPr>
      <w:sz w:val="18"/>
      <w:szCs w:val="18"/>
    </w:rPr>
  </w:style>
  <w:style w:type="paragraph" w:styleId="6">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locked/>
    <w:uiPriority w:val="99"/>
    <w:pPr>
      <w:widowControl/>
      <w:spacing w:before="100" w:beforeAutospacing="1" w:after="100" w:afterAutospacing="1"/>
      <w:jc w:val="left"/>
    </w:pPr>
    <w:rPr>
      <w:rFonts w:ascii="宋体" w:hAnsi="宋体" w:eastAsia="宋体" w:cs="宋体"/>
      <w:kern w:val="0"/>
      <w:sz w:val="24"/>
    </w:rPr>
  </w:style>
  <w:style w:type="table" w:styleId="9">
    <w:name w:val="Table Grid"/>
    <w:basedOn w:val="8"/>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99"/>
    <w:rPr>
      <w:rFonts w:cs="Times New Roman"/>
    </w:rPr>
  </w:style>
  <w:style w:type="character" w:styleId="12">
    <w:name w:val="Hyperlink"/>
    <w:basedOn w:val="10"/>
    <w:qFormat/>
    <w:uiPriority w:val="99"/>
    <w:rPr>
      <w:rFonts w:cs="Times New Roman"/>
      <w:color w:val="0000FF"/>
      <w:u w:val="single"/>
    </w:rPr>
  </w:style>
  <w:style w:type="character" w:customStyle="1" w:styleId="13">
    <w:name w:val="日期 字符"/>
    <w:basedOn w:val="10"/>
    <w:link w:val="4"/>
    <w:semiHidden/>
    <w:qFormat/>
    <w:locked/>
    <w:uiPriority w:val="99"/>
    <w:rPr>
      <w:rFonts w:eastAsia="仿宋_GB2312" w:cs="Times New Roman"/>
      <w:sz w:val="24"/>
      <w:szCs w:val="24"/>
    </w:rPr>
  </w:style>
  <w:style w:type="character" w:customStyle="1" w:styleId="14">
    <w:name w:val="页脚 字符"/>
    <w:basedOn w:val="10"/>
    <w:link w:val="5"/>
    <w:semiHidden/>
    <w:qFormat/>
    <w:locked/>
    <w:uiPriority w:val="99"/>
    <w:rPr>
      <w:rFonts w:eastAsia="仿宋_GB2312" w:cs="Times New Roman"/>
      <w:sz w:val="18"/>
      <w:szCs w:val="18"/>
    </w:rPr>
  </w:style>
  <w:style w:type="character" w:customStyle="1" w:styleId="15">
    <w:name w:val="页眉 字符"/>
    <w:basedOn w:val="10"/>
    <w:link w:val="6"/>
    <w:semiHidden/>
    <w:qFormat/>
    <w:locked/>
    <w:uiPriority w:val="99"/>
    <w:rPr>
      <w:rFonts w:eastAsia="仿宋_GB2312" w:cs="Times New Roman"/>
      <w:sz w:val="18"/>
      <w:szCs w:val="18"/>
    </w:rPr>
  </w:style>
  <w:style w:type="character" w:customStyle="1" w:styleId="16">
    <w:name w:val="15"/>
    <w:basedOn w:val="10"/>
    <w:qFormat/>
    <w:uiPriority w:val="99"/>
    <w:rPr>
      <w:rFonts w:ascii="Times New Roman" w:hAnsi="Times New Roman" w:cs="Times New Roman"/>
      <w:color w:val="0000FF"/>
      <w:u w:val="single"/>
    </w:rPr>
  </w:style>
  <w:style w:type="paragraph" w:customStyle="1" w:styleId="17">
    <w:name w:val="列出段落1"/>
    <w:basedOn w:val="1"/>
    <w:qFormat/>
    <w:uiPriority w:val="99"/>
    <w:pPr>
      <w:ind w:firstLine="420" w:firstLineChars="200"/>
    </w:pPr>
  </w:style>
  <w:style w:type="character" w:customStyle="1" w:styleId="18">
    <w:name w:val="font21"/>
    <w:basedOn w:val="10"/>
    <w:qFormat/>
    <w:uiPriority w:val="0"/>
    <w:rPr>
      <w:rFonts w:hint="eastAsia" w:ascii="黑体" w:hAnsi="宋体" w:eastAsia="黑体" w:cs="黑体"/>
      <w:color w:val="000000"/>
      <w:sz w:val="24"/>
      <w:szCs w:val="24"/>
      <w:u w:val="none"/>
    </w:rPr>
  </w:style>
  <w:style w:type="character" w:customStyle="1" w:styleId="19">
    <w:name w:val="font11"/>
    <w:basedOn w:val="10"/>
    <w:qFormat/>
    <w:uiPriority w:val="0"/>
    <w:rPr>
      <w:rFonts w:hint="eastAsia" w:ascii="黑体" w:hAnsi="宋体" w:eastAsia="黑体" w:cs="黑体"/>
      <w:color w:val="333333"/>
      <w:sz w:val="24"/>
      <w:szCs w:val="24"/>
      <w:u w:val="none"/>
    </w:rPr>
  </w:style>
  <w:style w:type="character" w:customStyle="1" w:styleId="20">
    <w:name w:val="font01"/>
    <w:basedOn w:val="10"/>
    <w:qFormat/>
    <w:uiPriority w:val="0"/>
    <w:rPr>
      <w:rFonts w:hint="eastAsia" w:ascii="宋体" w:hAnsi="宋体" w:eastAsia="宋体" w:cs="宋体"/>
      <w:color w:val="333333"/>
      <w:sz w:val="24"/>
      <w:szCs w:val="24"/>
      <w:u w:val="none"/>
    </w:rPr>
  </w:style>
  <w:style w:type="character" w:customStyle="1" w:styleId="21">
    <w:name w:val="段K"/>
    <w:basedOn w:val="10"/>
    <w:qFormat/>
    <w:uiPriority w:val="0"/>
    <w:rPr>
      <w:rFonts w:ascii="Times New Roman" w:hAnsi="Times New Roman" w:eastAsia="楷体_GB2312"/>
      <w:spacing w:val="6"/>
      <w:w w:val="100"/>
      <w:kern w:val="0"/>
      <w:position w:val="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17</Pages>
  <Words>1190</Words>
  <Characters>6783</Characters>
  <Lines>56</Lines>
  <Paragraphs>15</Paragraphs>
  <TotalTime>0</TotalTime>
  <ScaleCrop>false</ScaleCrop>
  <LinksUpToDate>false</LinksUpToDate>
  <CharactersWithSpaces>7958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2017-06-19T02:27:00Z</dcterms:created>
  <dc:creator>Sky123.Org</dc:creator>
  <cp:lastModifiedBy>马到成功</cp:lastModifiedBy>
  <cp:lastPrinted>2021-03-22T07:09:00Z</cp:lastPrinted>
  <dcterms:modified xsi:type="dcterms:W3CDTF">2021-03-22T08:47:40Z</dcterms:modified>
  <dc:title>郑州市全民技能振兴工程</dc:title>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